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CF956CD" w14:textId="1892CF39" w:rsidR="00B71401" w:rsidRDefault="00A277C0">
      <w:r>
        <w:rPr>
          <w:noProof/>
        </w:rPr>
        <w:drawing>
          <wp:inline distT="0" distB="0" distL="0" distR="0" wp14:anchorId="124134EB" wp14:editId="5ECA1734">
            <wp:extent cx="9156700" cy="6870700"/>
            <wp:effectExtent l="0" t="0" r="635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246A4A" w14:textId="48B26CC6" w:rsidR="00A277C0" w:rsidRDefault="00A277C0">
      <w:r>
        <w:rPr>
          <w:noProof/>
        </w:rPr>
        <w:lastRenderedPageBreak/>
        <w:drawing>
          <wp:inline distT="0" distB="0" distL="0" distR="0" wp14:anchorId="339B123A" wp14:editId="4B77C5D5">
            <wp:extent cx="9156700" cy="6870700"/>
            <wp:effectExtent l="0" t="0" r="635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03C0B9" w14:textId="79F78987" w:rsidR="00A277C0" w:rsidRDefault="00A277C0">
      <w:r>
        <w:rPr>
          <w:noProof/>
        </w:rPr>
        <w:lastRenderedPageBreak/>
        <w:drawing>
          <wp:inline distT="0" distB="0" distL="0" distR="0" wp14:anchorId="168AE680" wp14:editId="28D99C2E">
            <wp:extent cx="9156700" cy="6870700"/>
            <wp:effectExtent l="0" t="0" r="635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63F515" w14:textId="0B647C6B" w:rsidR="00A277C0" w:rsidRDefault="00A277C0">
      <w:r>
        <w:rPr>
          <w:noProof/>
        </w:rPr>
        <w:lastRenderedPageBreak/>
        <w:drawing>
          <wp:inline distT="0" distB="0" distL="0" distR="0" wp14:anchorId="73C2D524" wp14:editId="276F1CDF">
            <wp:extent cx="9156700" cy="6870700"/>
            <wp:effectExtent l="0" t="0" r="635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05D1A4" w14:textId="44F52797" w:rsidR="00A277C0" w:rsidRDefault="00A277C0">
      <w:r>
        <w:rPr>
          <w:noProof/>
        </w:rPr>
        <w:lastRenderedPageBreak/>
        <w:drawing>
          <wp:inline distT="0" distB="0" distL="0" distR="0" wp14:anchorId="78F151A2" wp14:editId="4A2DD399">
            <wp:extent cx="9156700" cy="6870700"/>
            <wp:effectExtent l="0" t="0" r="635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FC9FC7" w14:textId="19E13714" w:rsidR="00A277C0" w:rsidRDefault="00A277C0">
      <w:r>
        <w:rPr>
          <w:noProof/>
        </w:rPr>
        <w:lastRenderedPageBreak/>
        <w:drawing>
          <wp:inline distT="0" distB="0" distL="0" distR="0" wp14:anchorId="05E4053C" wp14:editId="21BBAA28">
            <wp:extent cx="9156700" cy="6870700"/>
            <wp:effectExtent l="0" t="0" r="635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0AADD0" w14:textId="366B3601" w:rsidR="00A277C0" w:rsidRDefault="00A277C0">
      <w:r>
        <w:rPr>
          <w:noProof/>
        </w:rPr>
        <w:lastRenderedPageBreak/>
        <w:drawing>
          <wp:inline distT="0" distB="0" distL="0" distR="0" wp14:anchorId="6B088422" wp14:editId="5BD68333">
            <wp:extent cx="9156700" cy="6870700"/>
            <wp:effectExtent l="0" t="0" r="635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03A326" w14:textId="723A7F02" w:rsidR="00A277C0" w:rsidRDefault="00A277C0">
      <w:r>
        <w:rPr>
          <w:noProof/>
        </w:rPr>
        <w:lastRenderedPageBreak/>
        <w:drawing>
          <wp:inline distT="0" distB="0" distL="0" distR="0" wp14:anchorId="5FC4DBD5" wp14:editId="51E7B099">
            <wp:extent cx="9156700" cy="6870700"/>
            <wp:effectExtent l="0" t="0" r="635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275F4B" w14:textId="3D689ABC" w:rsidR="00A277C0" w:rsidRDefault="00A277C0">
      <w:r>
        <w:rPr>
          <w:noProof/>
        </w:rPr>
        <w:lastRenderedPageBreak/>
        <w:drawing>
          <wp:inline distT="0" distB="0" distL="0" distR="0" wp14:anchorId="74B99AB1" wp14:editId="657C6F44">
            <wp:extent cx="9156700" cy="6870700"/>
            <wp:effectExtent l="0" t="0" r="635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04F8BC" w14:textId="0AB617D4" w:rsidR="00A277C0" w:rsidRDefault="00A277C0">
      <w:pPr>
        <w:rPr>
          <w:u w:val="single"/>
        </w:rPr>
      </w:pPr>
      <w:r>
        <w:rPr>
          <w:noProof/>
        </w:rPr>
        <w:lastRenderedPageBreak/>
        <w:drawing>
          <wp:inline distT="0" distB="0" distL="0" distR="0" wp14:anchorId="6C7A28A4" wp14:editId="4842F530">
            <wp:extent cx="9144000" cy="6858000"/>
            <wp:effectExtent l="0" t="0" r="0" b="0"/>
            <wp:docPr id="13" name="Chart 13">
              <a:extLst xmlns:a="http://schemas.openxmlformats.org/drawingml/2006/main">
                <a:ext uri="{FF2B5EF4-FFF2-40B4-BE49-F238E27FC236}">
                  <a16:creationId xmlns:a16="http://schemas.microsoft.com/office/drawing/2014/main" id="{D496FA2D-7B70-42BE-9F58-4B01952E708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06BCCC27" w14:textId="0BAB6DA8" w:rsidR="00A277C0" w:rsidRDefault="00A277C0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59741517" wp14:editId="217D9D88">
            <wp:extent cx="9156700" cy="6870700"/>
            <wp:effectExtent l="0" t="0" r="635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9A6FEA" w14:textId="440F4F60" w:rsidR="00A277C0" w:rsidRDefault="00A277C0">
      <w:r>
        <w:rPr>
          <w:noProof/>
        </w:rPr>
        <w:lastRenderedPageBreak/>
        <w:drawing>
          <wp:inline distT="0" distB="0" distL="0" distR="0" wp14:anchorId="7A8AA82E" wp14:editId="51C2BE8A">
            <wp:extent cx="9144000" cy="6858000"/>
            <wp:effectExtent l="0" t="0" r="0" b="0"/>
            <wp:docPr id="19" name="Chart 19">
              <a:extLst xmlns:a="http://schemas.openxmlformats.org/drawingml/2006/main">
                <a:ext uri="{FF2B5EF4-FFF2-40B4-BE49-F238E27FC236}">
                  <a16:creationId xmlns:a16="http://schemas.microsoft.com/office/drawing/2014/main" id="{CF3CAA2F-31DC-4DA6-8FE7-7C9F74B8800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1A64E5E7" w14:textId="2F14B7B1" w:rsidR="00A277C0" w:rsidRDefault="00A277C0">
      <w:r>
        <w:rPr>
          <w:noProof/>
        </w:rPr>
        <w:lastRenderedPageBreak/>
        <w:drawing>
          <wp:inline distT="0" distB="0" distL="0" distR="0" wp14:anchorId="6C0E1F86" wp14:editId="641517C9">
            <wp:extent cx="9156700" cy="6870700"/>
            <wp:effectExtent l="0" t="0" r="635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D7D080" w14:textId="3863B45F" w:rsidR="00A277C0" w:rsidRDefault="00A277C0">
      <w:pPr>
        <w:rPr>
          <w:u w:val="single"/>
        </w:rPr>
      </w:pPr>
      <w:r>
        <w:rPr>
          <w:noProof/>
        </w:rPr>
        <w:lastRenderedPageBreak/>
        <w:drawing>
          <wp:inline distT="0" distB="0" distL="0" distR="0" wp14:anchorId="5BA898A1" wp14:editId="1DAEB4C6">
            <wp:extent cx="9144000" cy="6858000"/>
            <wp:effectExtent l="0" t="0" r="0" b="0"/>
            <wp:docPr id="22" name="Chart 22">
              <a:extLst xmlns:a="http://schemas.openxmlformats.org/drawingml/2006/main">
                <a:ext uri="{FF2B5EF4-FFF2-40B4-BE49-F238E27FC236}">
                  <a16:creationId xmlns:a16="http://schemas.microsoft.com/office/drawing/2014/main" id="{F53C8DAB-C2D0-4230-BD9E-B4EF017D38D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640B7B19" w14:textId="77893F54" w:rsidR="00A277C0" w:rsidRDefault="00A277C0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27247A34" wp14:editId="473FBB05">
            <wp:extent cx="9156700" cy="6870700"/>
            <wp:effectExtent l="0" t="0" r="635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4F749F" w14:textId="575B4FDC" w:rsidR="00A277C0" w:rsidRDefault="00A277C0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2740D035" wp14:editId="35D03DDF">
            <wp:extent cx="9156700" cy="6870700"/>
            <wp:effectExtent l="0" t="0" r="635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139B03" w14:textId="1573F8CE" w:rsidR="00A277C0" w:rsidRDefault="00A277C0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43478005" wp14:editId="6E872024">
            <wp:extent cx="9156700" cy="6870700"/>
            <wp:effectExtent l="0" t="0" r="635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1CAC56" w14:textId="20A74045" w:rsidR="00A277C0" w:rsidRDefault="00A277C0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70430864" wp14:editId="48F33276">
            <wp:extent cx="9156700" cy="6870700"/>
            <wp:effectExtent l="0" t="0" r="635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595B07" w14:textId="4FAC0F26" w:rsidR="00A277C0" w:rsidRDefault="00A277C0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3B95B03F" wp14:editId="5D49774B">
            <wp:extent cx="9156700" cy="6870700"/>
            <wp:effectExtent l="0" t="0" r="635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CE005F" w14:textId="2D5E789F" w:rsidR="00A277C0" w:rsidRDefault="00A277C0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7328DB82" wp14:editId="2DA31B14">
            <wp:extent cx="9156700" cy="6870700"/>
            <wp:effectExtent l="0" t="0" r="6350" b="63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464142" w14:textId="0C073BD7" w:rsidR="00A277C0" w:rsidRDefault="00A277C0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4FAA2104" wp14:editId="59E4C5A7">
            <wp:extent cx="9156700" cy="6870700"/>
            <wp:effectExtent l="0" t="0" r="635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8F7196" w14:textId="783851D7" w:rsidR="00A277C0" w:rsidRDefault="00A277C0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37D9A79D" wp14:editId="35DE0F09">
            <wp:extent cx="9156700" cy="6870700"/>
            <wp:effectExtent l="0" t="0" r="6350" b="635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A8A4DC" w14:textId="71C2AA8C" w:rsidR="00A277C0" w:rsidRDefault="00A277C0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4DC5284F" wp14:editId="49A3793B">
            <wp:extent cx="9156700" cy="6870700"/>
            <wp:effectExtent l="0" t="0" r="635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15C334" w14:textId="295A7331" w:rsidR="00A277C0" w:rsidRDefault="00A277C0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0B19CA3F" wp14:editId="18C93444">
            <wp:extent cx="9156700" cy="6870700"/>
            <wp:effectExtent l="0" t="0" r="6350" b="635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01D67A" w14:textId="7FB46381" w:rsidR="00A277C0" w:rsidRDefault="00A277C0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09BC0CDA" wp14:editId="2E017A40">
            <wp:extent cx="9156700" cy="6870700"/>
            <wp:effectExtent l="0" t="0" r="6350" b="635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5A3D28" w14:textId="1164608D" w:rsidR="00A277C0" w:rsidRDefault="00A277C0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1861CF80" wp14:editId="2A6A344D">
            <wp:extent cx="9156700" cy="6870700"/>
            <wp:effectExtent l="0" t="0" r="6350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D8BBBE" w14:textId="4C73FE9F" w:rsidR="00A277C0" w:rsidRDefault="00A277C0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55EAF5CD" wp14:editId="77D7181D">
            <wp:extent cx="9156700" cy="6870700"/>
            <wp:effectExtent l="0" t="0" r="6350" b="635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FBF806" w14:textId="2525C432" w:rsidR="00A277C0" w:rsidRDefault="00A277C0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195326F1" wp14:editId="5BF94973">
            <wp:extent cx="9156700" cy="6870700"/>
            <wp:effectExtent l="0" t="0" r="6350" b="635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E479F2" w14:textId="2C419D7A" w:rsidR="00A277C0" w:rsidRDefault="00A277C0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47042AD6" wp14:editId="6A700B3B">
            <wp:extent cx="9156700" cy="6870700"/>
            <wp:effectExtent l="0" t="0" r="6350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432D68" w14:textId="06C10B7C" w:rsidR="00A277C0" w:rsidRPr="00A277C0" w:rsidRDefault="00A277C0">
      <w:pPr>
        <w:rPr>
          <w:u w:val="single"/>
        </w:rPr>
      </w:pPr>
      <w:r>
        <w:rPr>
          <w:noProof/>
          <w:u w:val="single"/>
        </w:rPr>
        <w:lastRenderedPageBreak/>
        <w:drawing>
          <wp:inline distT="0" distB="0" distL="0" distR="0" wp14:anchorId="3F075621" wp14:editId="0596D6F4">
            <wp:extent cx="9156700" cy="6870700"/>
            <wp:effectExtent l="0" t="0" r="6350" b="635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6700" cy="687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277C0" w:rsidRPr="00A277C0" w:rsidSect="00A277C0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77C0"/>
    <w:rsid w:val="004C62B1"/>
    <w:rsid w:val="00A277C0"/>
    <w:rsid w:val="00B71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3"/>
    <o:shapelayout v:ext="edit">
      <o:idmap v:ext="edit" data="1"/>
    </o:shapelayout>
  </w:shapeDefaults>
  <w:decimalSymbol w:val="."/>
  <w:listSeparator w:val=","/>
  <w14:docId w14:val="6CCD81E9"/>
  <w15:chartTrackingRefBased/>
  <w15:docId w15:val="{B90C6089-2728-4029-AD2A-30833C49B1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chart" Target="charts/chart2.xml"/><Relationship Id="rId26" Type="http://schemas.openxmlformats.org/officeDocument/2006/relationships/image" Target="media/image17.png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chart" Target="charts/chart1.xml"/><Relationship Id="rId20" Type="http://schemas.openxmlformats.org/officeDocument/2006/relationships/chart" Target="charts/chart3.xml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image" Target="media/image22.png"/><Relationship Id="rId4" Type="http://schemas.openxmlformats.org/officeDocument/2006/relationships/styles" Target="styl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pivotSource>
    <c:name>[EVER_DailyStackBarChart_07-09-2020.xlsx]AnnualPVT!PivotTable1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US" sz="1800">
                <a:solidFill>
                  <a:schemeClr val="tx1"/>
                </a:solidFill>
              </a:rPr>
              <a:t>Everglades National Park</a:t>
            </a:r>
          </a:p>
          <a:p>
            <a:pPr>
              <a:defRPr sz="1800">
                <a:solidFill>
                  <a:schemeClr val="tx1"/>
                </a:solidFill>
              </a:defRPr>
            </a:pPr>
            <a:r>
              <a:rPr lang="en-US" sz="1800">
                <a:solidFill>
                  <a:schemeClr val="tx1"/>
                </a:solidFill>
              </a:rPr>
              <a:t>Annual Average of 20% Most Impaired Days, Visibility Impairment by Species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0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2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3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4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5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6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7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8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9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0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1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2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3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4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5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6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7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8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9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0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1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2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3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4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5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6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7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8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9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0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1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2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3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4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5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6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7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8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9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0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1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2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3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4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5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6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7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8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9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0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1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2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3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4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5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6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7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8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9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0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1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>
        <c:manualLayout>
          <c:layoutTarget val="inner"/>
          <c:xMode val="edge"/>
          <c:yMode val="edge"/>
          <c:x val="7.2950024548667752E-2"/>
          <c:y val="0.20928061495050984"/>
          <c:w val="0.86078855333332327"/>
          <c:h val="0.63552649740477807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AnnualPVT!$B$4</c:f>
              <c:strCache>
                <c:ptCount val="1"/>
                <c:pt idx="0">
                  <c:v>Ave_ss_rayleigh</c:v>
                </c:pt>
              </c:strCache>
            </c:strRef>
          </c:tx>
          <c:spPr>
            <a:solidFill>
              <a:schemeClr val="accent1"/>
            </a:solidFill>
            <a:ln w="12700"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AnnualPVT!$A$5:$A$22</c:f>
              <c:strCache>
                <c:ptCount val="18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</c:strCache>
            </c:strRef>
          </c:cat>
          <c:val>
            <c:numRef>
              <c:f>AnnualPVT!$B$5:$B$22</c:f>
              <c:numCache>
                <c:formatCode>General</c:formatCode>
                <c:ptCount val="18"/>
                <c:pt idx="0">
                  <c:v>11</c:v>
                </c:pt>
                <c:pt idx="1">
                  <c:v>11</c:v>
                </c:pt>
                <c:pt idx="2">
                  <c:v>11</c:v>
                </c:pt>
                <c:pt idx="3">
                  <c:v>11</c:v>
                </c:pt>
                <c:pt idx="4">
                  <c:v>11</c:v>
                </c:pt>
                <c:pt idx="5">
                  <c:v>11</c:v>
                </c:pt>
                <c:pt idx="6">
                  <c:v>11</c:v>
                </c:pt>
                <c:pt idx="7">
                  <c:v>11</c:v>
                </c:pt>
                <c:pt idx="8">
                  <c:v>11</c:v>
                </c:pt>
                <c:pt idx="9">
                  <c:v>11</c:v>
                </c:pt>
                <c:pt idx="10">
                  <c:v>11</c:v>
                </c:pt>
                <c:pt idx="11">
                  <c:v>11</c:v>
                </c:pt>
                <c:pt idx="12">
                  <c:v>11</c:v>
                </c:pt>
                <c:pt idx="13">
                  <c:v>11</c:v>
                </c:pt>
                <c:pt idx="14">
                  <c:v>11</c:v>
                </c:pt>
                <c:pt idx="15">
                  <c:v>11</c:v>
                </c:pt>
                <c:pt idx="16">
                  <c:v>11</c:v>
                </c:pt>
                <c:pt idx="17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006-4786-B434-2E906FC84FFE}"/>
            </c:ext>
          </c:extLst>
        </c:ser>
        <c:ser>
          <c:idx val="1"/>
          <c:order val="1"/>
          <c:tx>
            <c:strRef>
              <c:f>AnnualPVT!$C$4</c:f>
              <c:strCache>
                <c:ptCount val="1"/>
                <c:pt idx="0">
                  <c:v>Ave_Amm_SO4</c:v>
                </c:pt>
              </c:strCache>
            </c:strRef>
          </c:tx>
          <c:spPr>
            <a:solidFill>
              <a:srgbClr val="FFFF00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AnnualPVT!$A$5:$A$22</c:f>
              <c:strCache>
                <c:ptCount val="18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</c:strCache>
            </c:strRef>
          </c:cat>
          <c:val>
            <c:numRef>
              <c:f>AnnualPVT!$C$5:$C$22</c:f>
              <c:numCache>
                <c:formatCode>General</c:formatCode>
                <c:ptCount val="18"/>
                <c:pt idx="0">
                  <c:v>42.379117075565212</c:v>
                </c:pt>
                <c:pt idx="1">
                  <c:v>39.834182965208335</c:v>
                </c:pt>
                <c:pt idx="2">
                  <c:v>51.272803665199987</c:v>
                </c:pt>
                <c:pt idx="3">
                  <c:v>42.394629417250009</c:v>
                </c:pt>
                <c:pt idx="4">
                  <c:v>59.407208648727263</c:v>
                </c:pt>
                <c:pt idx="5">
                  <c:v>49.483247118545457</c:v>
                </c:pt>
                <c:pt idx="6">
                  <c:v>38.848966839090899</c:v>
                </c:pt>
                <c:pt idx="7">
                  <c:v>35.708972698227278</c:v>
                </c:pt>
                <c:pt idx="8">
                  <c:v>27.666773291181823</c:v>
                </c:pt>
                <c:pt idx="9">
                  <c:v>29.155244747833326</c:v>
                </c:pt>
                <c:pt idx="10">
                  <c:v>26.740621102521736</c:v>
                </c:pt>
                <c:pt idx="11">
                  <c:v>25.848412313750003</c:v>
                </c:pt>
                <c:pt idx="12">
                  <c:v>21.416921427304345</c:v>
                </c:pt>
                <c:pt idx="13">
                  <c:v>22.021429806818187</c:v>
                </c:pt>
                <c:pt idx="14">
                  <c:v>24.238707061125002</c:v>
                </c:pt>
                <c:pt idx="15">
                  <c:v>17.784698381952381</c:v>
                </c:pt>
                <c:pt idx="16">
                  <c:v>18.127777679850006</c:v>
                </c:pt>
                <c:pt idx="17">
                  <c:v>20.265189606333337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006-4786-B434-2E906FC84FFE}"/>
            </c:ext>
          </c:extLst>
        </c:ser>
        <c:ser>
          <c:idx val="2"/>
          <c:order val="2"/>
          <c:tx>
            <c:strRef>
              <c:f>AnnualPVT!$D$4</c:f>
              <c:strCache>
                <c:ptCount val="1"/>
                <c:pt idx="0">
                  <c:v>Ave_Amm_NO3</c:v>
                </c:pt>
              </c:strCache>
            </c:strRef>
          </c:tx>
          <c:spPr>
            <a:solidFill>
              <a:srgbClr val="FF0000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AnnualPVT!$A$5:$A$22</c:f>
              <c:strCache>
                <c:ptCount val="18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</c:strCache>
            </c:strRef>
          </c:cat>
          <c:val>
            <c:numRef>
              <c:f>AnnualPVT!$D$5:$D$22</c:f>
              <c:numCache>
                <c:formatCode>General</c:formatCode>
                <c:ptCount val="18"/>
                <c:pt idx="0">
                  <c:v>5.330987049743479</c:v>
                </c:pt>
                <c:pt idx="1">
                  <c:v>3.2638315269249998</c:v>
                </c:pt>
                <c:pt idx="2">
                  <c:v>4.0417373497349995</c:v>
                </c:pt>
                <c:pt idx="3">
                  <c:v>3.4638117845208334</c:v>
                </c:pt>
                <c:pt idx="4">
                  <c:v>3.4826196774636369</c:v>
                </c:pt>
                <c:pt idx="5">
                  <c:v>3.0416934626772725</c:v>
                </c:pt>
                <c:pt idx="6">
                  <c:v>3.0651478885590895</c:v>
                </c:pt>
                <c:pt idx="7">
                  <c:v>3.4191269113772731</c:v>
                </c:pt>
                <c:pt idx="8">
                  <c:v>2.7602304578727272</c:v>
                </c:pt>
                <c:pt idx="9">
                  <c:v>2.9967194819458332</c:v>
                </c:pt>
                <c:pt idx="10">
                  <c:v>2.7863664592565214</c:v>
                </c:pt>
                <c:pt idx="11">
                  <c:v>3.0165715311416665</c:v>
                </c:pt>
                <c:pt idx="12">
                  <c:v>3.1390304404260863</c:v>
                </c:pt>
                <c:pt idx="13">
                  <c:v>2.8486999029363633</c:v>
                </c:pt>
                <c:pt idx="14">
                  <c:v>2.500783030529167</c:v>
                </c:pt>
                <c:pt idx="15">
                  <c:v>2.6740610697952381</c:v>
                </c:pt>
                <c:pt idx="16">
                  <c:v>3.1621752021749994</c:v>
                </c:pt>
                <c:pt idx="17">
                  <c:v>2.8083397050142862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006-4786-B434-2E906FC84FFE}"/>
            </c:ext>
          </c:extLst>
        </c:ser>
        <c:ser>
          <c:idx val="3"/>
          <c:order val="3"/>
          <c:tx>
            <c:strRef>
              <c:f>AnnualPVT!$E$4</c:f>
              <c:strCache>
                <c:ptCount val="1"/>
                <c:pt idx="0">
                  <c:v>Ave_EOMC</c:v>
                </c:pt>
              </c:strCache>
            </c:strRef>
          </c:tx>
          <c:spPr>
            <a:solidFill>
              <a:srgbClr val="00B050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AnnualPVT!$A$5:$A$22</c:f>
              <c:strCache>
                <c:ptCount val="18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</c:strCache>
            </c:strRef>
          </c:cat>
          <c:val>
            <c:numRef>
              <c:f>AnnualPVT!$E$5:$E$22</c:f>
              <c:numCache>
                <c:formatCode>General</c:formatCode>
                <c:ptCount val="18"/>
                <c:pt idx="0">
                  <c:v>5.6587880172869554</c:v>
                </c:pt>
                <c:pt idx="1">
                  <c:v>6.1343602413875002</c:v>
                </c:pt>
                <c:pt idx="2">
                  <c:v>7.0554884523249983</c:v>
                </c:pt>
                <c:pt idx="3">
                  <c:v>8.5230272863874994</c:v>
                </c:pt>
                <c:pt idx="4">
                  <c:v>4.9049088434727279</c:v>
                </c:pt>
                <c:pt idx="5">
                  <c:v>5.7387318002636363</c:v>
                </c:pt>
                <c:pt idx="6">
                  <c:v>5.0210269582454545</c:v>
                </c:pt>
                <c:pt idx="7">
                  <c:v>5.4096259002863638</c:v>
                </c:pt>
                <c:pt idx="8">
                  <c:v>3.9669233322272728</c:v>
                </c:pt>
                <c:pt idx="9">
                  <c:v>4.5188012556208337</c:v>
                </c:pt>
                <c:pt idx="10">
                  <c:v>5.5403213227434778</c:v>
                </c:pt>
                <c:pt idx="11">
                  <c:v>4.4743981803291675</c:v>
                </c:pt>
                <c:pt idx="12">
                  <c:v>3.597919157826087</c:v>
                </c:pt>
                <c:pt idx="13">
                  <c:v>3.8059361666863638</c:v>
                </c:pt>
                <c:pt idx="14">
                  <c:v>4.1998412687791671</c:v>
                </c:pt>
                <c:pt idx="15">
                  <c:v>4.8895631528523804</c:v>
                </c:pt>
                <c:pt idx="16">
                  <c:v>3.14786800107</c:v>
                </c:pt>
                <c:pt idx="17">
                  <c:v>3.1221565423285709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006-4786-B434-2E906FC84FFE}"/>
            </c:ext>
          </c:extLst>
        </c:ser>
        <c:ser>
          <c:idx val="4"/>
          <c:order val="4"/>
          <c:tx>
            <c:strRef>
              <c:f>AnnualPVT!$F$4</c:f>
              <c:strCache>
                <c:ptCount val="1"/>
                <c:pt idx="0">
                  <c:v>Ave_ELAC</c:v>
                </c:pt>
              </c:strCache>
            </c:strRef>
          </c:tx>
          <c:spPr>
            <a:solidFill>
              <a:schemeClr val="tx1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AnnualPVT!$A$5:$A$22</c:f>
              <c:strCache>
                <c:ptCount val="18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</c:strCache>
            </c:strRef>
          </c:cat>
          <c:val>
            <c:numRef>
              <c:f>AnnualPVT!$F$5:$F$22</c:f>
              <c:numCache>
                <c:formatCode>General</c:formatCode>
                <c:ptCount val="18"/>
                <c:pt idx="0">
                  <c:v>3.3483478260869566</c:v>
                </c:pt>
                <c:pt idx="1">
                  <c:v>3.5099583333333331</c:v>
                </c:pt>
                <c:pt idx="2">
                  <c:v>4.2565999999999997</c:v>
                </c:pt>
                <c:pt idx="3">
                  <c:v>2.885875</c:v>
                </c:pt>
                <c:pt idx="4">
                  <c:v>3.2422727272727276</c:v>
                </c:pt>
                <c:pt idx="5">
                  <c:v>3.6536363636363633</c:v>
                </c:pt>
                <c:pt idx="6">
                  <c:v>2.6362272727272722</c:v>
                </c:pt>
                <c:pt idx="7">
                  <c:v>2.1312272727272723</c:v>
                </c:pt>
                <c:pt idx="8">
                  <c:v>1.8273636363636363</c:v>
                </c:pt>
                <c:pt idx="9">
                  <c:v>2.1337916666666668</c:v>
                </c:pt>
                <c:pt idx="10">
                  <c:v>2.155086956521739</c:v>
                </c:pt>
                <c:pt idx="11">
                  <c:v>1.9390833333333333</c:v>
                </c:pt>
                <c:pt idx="12">
                  <c:v>1.6637826086956522</c:v>
                </c:pt>
                <c:pt idx="13">
                  <c:v>1.8505000000000003</c:v>
                </c:pt>
                <c:pt idx="14">
                  <c:v>1.5758958333333333</c:v>
                </c:pt>
                <c:pt idx="15">
                  <c:v>1.5515666666666668</c:v>
                </c:pt>
                <c:pt idx="16">
                  <c:v>1.6530100000000001</c:v>
                </c:pt>
                <c:pt idx="17">
                  <c:v>1.8131761904761903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006-4786-B434-2E906FC84FFE}"/>
            </c:ext>
          </c:extLst>
        </c:ser>
        <c:ser>
          <c:idx val="5"/>
          <c:order val="5"/>
          <c:tx>
            <c:strRef>
              <c:f>AnnualPVT!$G$4</c:f>
              <c:strCache>
                <c:ptCount val="1"/>
                <c:pt idx="0">
                  <c:v>Ave_ESoil</c:v>
                </c:pt>
              </c:strCache>
            </c:strRef>
          </c:tx>
          <c:spPr>
            <a:solidFill>
              <a:schemeClr val="accent4">
                <a:lumMod val="75000"/>
              </a:schemeClr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AnnualPVT!$A$5:$A$22</c:f>
              <c:strCache>
                <c:ptCount val="18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</c:strCache>
            </c:strRef>
          </c:cat>
          <c:val>
            <c:numRef>
              <c:f>AnnualPVT!$G$5:$G$22</c:f>
              <c:numCache>
                <c:formatCode>General</c:formatCode>
                <c:ptCount val="18"/>
                <c:pt idx="0">
                  <c:v>0.61347695217391307</c:v>
                </c:pt>
                <c:pt idx="1">
                  <c:v>0.4596344083333333</c:v>
                </c:pt>
                <c:pt idx="2">
                  <c:v>0.84518693000000022</c:v>
                </c:pt>
                <c:pt idx="3">
                  <c:v>0.46549229999999997</c:v>
                </c:pt>
                <c:pt idx="4">
                  <c:v>0.40473252727272713</c:v>
                </c:pt>
                <c:pt idx="5">
                  <c:v>0.48363427727272723</c:v>
                </c:pt>
                <c:pt idx="6">
                  <c:v>0.62837924545454549</c:v>
                </c:pt>
                <c:pt idx="7">
                  <c:v>1.1719973386363636</c:v>
                </c:pt>
                <c:pt idx="8">
                  <c:v>0.56278974772727275</c:v>
                </c:pt>
                <c:pt idx="9">
                  <c:v>0.55127400416666672</c:v>
                </c:pt>
                <c:pt idx="10">
                  <c:v>0.31091789130434783</c:v>
                </c:pt>
                <c:pt idx="11">
                  <c:v>0.78189319583333317</c:v>
                </c:pt>
                <c:pt idx="12">
                  <c:v>0.32218155217391298</c:v>
                </c:pt>
                <c:pt idx="13">
                  <c:v>0.78884943181818168</c:v>
                </c:pt>
                <c:pt idx="14">
                  <c:v>0.55481796249999993</c:v>
                </c:pt>
                <c:pt idx="15">
                  <c:v>0.43159654285714283</c:v>
                </c:pt>
                <c:pt idx="16">
                  <c:v>0.5997097549999999</c:v>
                </c:pt>
                <c:pt idx="17">
                  <c:v>0.86974127142857138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8006-4786-B434-2E906FC84FFE}"/>
            </c:ext>
          </c:extLst>
        </c:ser>
        <c:ser>
          <c:idx val="6"/>
          <c:order val="6"/>
          <c:tx>
            <c:strRef>
              <c:f>AnnualPVT!$H$4</c:f>
              <c:strCache>
                <c:ptCount val="1"/>
                <c:pt idx="0">
                  <c:v>Ave_ECM</c:v>
                </c:pt>
              </c:strCache>
            </c:strRef>
          </c:tx>
          <c:spPr>
            <a:solidFill>
              <a:schemeClr val="bg1">
                <a:lumMod val="85000"/>
              </a:schemeClr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AnnualPVT!$A$5:$A$22</c:f>
              <c:strCache>
                <c:ptCount val="18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</c:strCache>
            </c:strRef>
          </c:cat>
          <c:val>
            <c:numRef>
              <c:f>AnnualPVT!$H$5:$H$22</c:f>
              <c:numCache>
                <c:formatCode>General</c:formatCode>
                <c:ptCount val="18"/>
                <c:pt idx="0">
                  <c:v>3.5460026086956513</c:v>
                </c:pt>
                <c:pt idx="1">
                  <c:v>2.3396075000000001</c:v>
                </c:pt>
                <c:pt idx="2">
                  <c:v>2.0873610000000005</c:v>
                </c:pt>
                <c:pt idx="3">
                  <c:v>2.2137475000000002</c:v>
                </c:pt>
                <c:pt idx="4">
                  <c:v>2.6780209090909088</c:v>
                </c:pt>
                <c:pt idx="5">
                  <c:v>2.8986954545454537</c:v>
                </c:pt>
                <c:pt idx="6">
                  <c:v>3.5648454545454551</c:v>
                </c:pt>
                <c:pt idx="7">
                  <c:v>3.4037999999999995</c:v>
                </c:pt>
                <c:pt idx="8">
                  <c:v>2.8096500000000004</c:v>
                </c:pt>
                <c:pt idx="9">
                  <c:v>2.5733850000000005</c:v>
                </c:pt>
                <c:pt idx="10">
                  <c:v>3.9517082608695655</c:v>
                </c:pt>
                <c:pt idx="11">
                  <c:v>3.6016949999999994</c:v>
                </c:pt>
                <c:pt idx="12">
                  <c:v>3.1421973913043484</c:v>
                </c:pt>
                <c:pt idx="13">
                  <c:v>3.3367445454545464</c:v>
                </c:pt>
                <c:pt idx="14">
                  <c:v>2.3338769999999998</c:v>
                </c:pt>
                <c:pt idx="15">
                  <c:v>4.148256571428572</c:v>
                </c:pt>
                <c:pt idx="16">
                  <c:v>2.9628514199999998</c:v>
                </c:pt>
                <c:pt idx="17">
                  <c:v>3.208274571428571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006-4786-B434-2E906FC84FFE}"/>
            </c:ext>
          </c:extLst>
        </c:ser>
        <c:ser>
          <c:idx val="7"/>
          <c:order val="7"/>
          <c:tx>
            <c:strRef>
              <c:f>AnnualPVT!$I$4</c:f>
              <c:strCache>
                <c:ptCount val="1"/>
                <c:pt idx="0">
                  <c:v>Ave_ESea_Salt</c:v>
                </c:pt>
              </c:strCache>
            </c:strRef>
          </c:tx>
          <c:spPr>
            <a:solidFill>
              <a:schemeClr val="accent1">
                <a:lumMod val="40000"/>
                <a:lumOff val="60000"/>
              </a:schemeClr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AnnualPVT!$A$5:$A$22</c:f>
              <c:strCache>
                <c:ptCount val="18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</c:strCache>
            </c:strRef>
          </c:cat>
          <c:val>
            <c:numRef>
              <c:f>AnnualPVT!$I$5:$I$22</c:f>
              <c:numCache>
                <c:formatCode>General</c:formatCode>
                <c:ptCount val="18"/>
                <c:pt idx="0">
                  <c:v>0.13484446786956519</c:v>
                </c:pt>
                <c:pt idx="1">
                  <c:v>0.14899597724999999</c:v>
                </c:pt>
                <c:pt idx="2">
                  <c:v>3.2737333499999999E-3</c:v>
                </c:pt>
                <c:pt idx="3">
                  <c:v>1.1432611350000002</c:v>
                </c:pt>
                <c:pt idx="4">
                  <c:v>1.0910167118181819</c:v>
                </c:pt>
                <c:pt idx="5">
                  <c:v>0.69018089277272732</c:v>
                </c:pt>
                <c:pt idx="6">
                  <c:v>0.59436003190909092</c:v>
                </c:pt>
                <c:pt idx="7">
                  <c:v>1.9837217294999996</c:v>
                </c:pt>
                <c:pt idx="8">
                  <c:v>1.4767541292272726</c:v>
                </c:pt>
                <c:pt idx="9">
                  <c:v>1.5942992445000002</c:v>
                </c:pt>
                <c:pt idx="10">
                  <c:v>1.6667444817391308</c:v>
                </c:pt>
                <c:pt idx="11">
                  <c:v>1.5704160975000001</c:v>
                </c:pt>
                <c:pt idx="12">
                  <c:v>1.9152522704347827</c:v>
                </c:pt>
                <c:pt idx="13">
                  <c:v>1.1634293863636365</c:v>
                </c:pt>
                <c:pt idx="14">
                  <c:v>0.95064479400000002</c:v>
                </c:pt>
                <c:pt idx="15">
                  <c:v>2.4738124988571433</c:v>
                </c:pt>
                <c:pt idx="16">
                  <c:v>1.7889390818999999</c:v>
                </c:pt>
                <c:pt idx="17">
                  <c:v>1.4888428251428569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8006-4786-B434-2E906FC84FF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5"/>
        <c:overlap val="100"/>
        <c:axId val="838290880"/>
        <c:axId val="838291208"/>
      </c:barChart>
      <c:lineChart>
        <c:grouping val="standard"/>
        <c:varyColors val="0"/>
        <c:ser>
          <c:idx val="8"/>
          <c:order val="8"/>
          <c:tx>
            <c:strRef>
              <c:f>AnnualPVT!$J$4</c:f>
              <c:strCache>
                <c:ptCount val="1"/>
                <c:pt idx="0">
                  <c:v>Ave_DV</c:v>
                </c:pt>
              </c:strCache>
            </c:strRef>
          </c:tx>
          <c:spPr>
            <a:ln w="28575" cap="rnd">
              <a:solidFill>
                <a:schemeClr val="tx1">
                  <a:alpha val="60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AnnualPVT!$A$5:$A$22</c:f>
              <c:strCache>
                <c:ptCount val="18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</c:strCache>
            </c:strRef>
          </c:cat>
          <c:val>
            <c:numRef>
              <c:f>AnnualPVT!$J$5:$J$22</c:f>
              <c:numCache>
                <c:formatCode>General</c:formatCode>
                <c:ptCount val="18"/>
                <c:pt idx="0">
                  <c:v>19.455194166130436</c:v>
                </c:pt>
                <c:pt idx="1">
                  <c:v>18.603828955958331</c:v>
                </c:pt>
                <c:pt idx="2">
                  <c:v>20.731726351550002</c:v>
                </c:pt>
                <c:pt idx="3">
                  <c:v>19.353264036499997</c:v>
                </c:pt>
                <c:pt idx="4">
                  <c:v>21.130508561454548</c:v>
                </c:pt>
                <c:pt idx="5">
                  <c:v>20.16860557081818</c:v>
                </c:pt>
                <c:pt idx="6">
                  <c:v>18.336814732954544</c:v>
                </c:pt>
                <c:pt idx="7">
                  <c:v>18.259711686818186</c:v>
                </c:pt>
                <c:pt idx="8">
                  <c:v>16.367837403590912</c:v>
                </c:pt>
                <c:pt idx="9">
                  <c:v>16.895735940416667</c:v>
                </c:pt>
                <c:pt idx="10">
                  <c:v>16.696766836478265</c:v>
                </c:pt>
                <c:pt idx="11">
                  <c:v>16.391688140333336</c:v>
                </c:pt>
                <c:pt idx="12">
                  <c:v>15.170835703130441</c:v>
                </c:pt>
                <c:pt idx="13">
                  <c:v>15.139881994000001</c:v>
                </c:pt>
                <c:pt idx="14">
                  <c:v>15.245954004083332</c:v>
                </c:pt>
                <c:pt idx="15">
                  <c:v>14.717686911761902</c:v>
                </c:pt>
                <c:pt idx="16">
                  <c:v>14.307668547500004</c:v>
                </c:pt>
                <c:pt idx="17">
                  <c:v>14.696145288285711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8006-4786-B434-2E906FC84FF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85018528"/>
        <c:axId val="683470928"/>
      </c:lineChart>
      <c:catAx>
        <c:axId val="8382908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38291208"/>
        <c:crosses val="autoZero"/>
        <c:auto val="1"/>
        <c:lblAlgn val="ctr"/>
        <c:lblOffset val="100"/>
        <c:noMultiLvlLbl val="0"/>
      </c:catAx>
      <c:valAx>
        <c:axId val="8382912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/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>
                    <a:solidFill>
                      <a:schemeClr val="tx1"/>
                    </a:solidFill>
                  </a:rPr>
                  <a:t>Inverse Megameters (Mm-1)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38290880"/>
        <c:crosses val="autoZero"/>
        <c:crossBetween val="between"/>
      </c:valAx>
      <c:valAx>
        <c:axId val="683470928"/>
        <c:scaling>
          <c:orientation val="minMax"/>
        </c:scaling>
        <c:delete val="0"/>
        <c:axPos val="r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>
                    <a:solidFill>
                      <a:schemeClr val="tx1"/>
                    </a:solidFill>
                  </a:rPr>
                  <a:t>Deciviews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85018528"/>
        <c:crosses val="max"/>
        <c:crossBetween val="between"/>
      </c:valAx>
      <c:catAx>
        <c:axId val="58501852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683470928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6.9532036906505088E-3"/>
          <c:y val="0.89575443244614095"/>
          <c:w val="0.98756039139735197"/>
          <c:h val="5.2123022579059812E-2"/>
        </c:manualLayout>
      </c:layout>
      <c:overlay val="0"/>
      <c:spPr>
        <a:solidFill>
          <a:sysClr val="window" lastClr="FFFFFF"/>
        </a:solidFill>
        <a:ln>
          <a:solidFill>
            <a:schemeClr val="tx1"/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pivotSource>
    <c:name>[GRSM_DailyStackBarChart_07-09-2020.xlsx]AnnualPVT!PivotTable1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US" sz="1800"/>
              <a:t>Great Smoky Mountains National Park</a:t>
            </a:r>
          </a:p>
          <a:p>
            <a:pPr>
              <a:defRPr sz="1800">
                <a:solidFill>
                  <a:schemeClr val="tx1"/>
                </a:solidFill>
              </a:defRPr>
            </a:pPr>
            <a:r>
              <a:rPr lang="en-US" sz="1800"/>
              <a:t>Annual Average of 20% Most Impaired Days, Visibility Impairment by Species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0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2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3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4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5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6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7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8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9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0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1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2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3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4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5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6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7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8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9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0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1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2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3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4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5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6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7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8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9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0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1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2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3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4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5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6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7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8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9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0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1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2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3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4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5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6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7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8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9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0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1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2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3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4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5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6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7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8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9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0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1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2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3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4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5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6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7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8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9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0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1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2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3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4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5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6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7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8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9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>
        <c:manualLayout>
          <c:layoutTarget val="inner"/>
          <c:xMode val="edge"/>
          <c:yMode val="edge"/>
          <c:x val="7.2950024548667752E-2"/>
          <c:y val="0.20928061495050984"/>
          <c:w val="0.86078855333332327"/>
          <c:h val="0.63552649740477807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AnnualPVT!$B$4</c:f>
              <c:strCache>
                <c:ptCount val="1"/>
                <c:pt idx="0">
                  <c:v>Ave_ss_rayleigh</c:v>
                </c:pt>
              </c:strCache>
            </c:strRef>
          </c:tx>
          <c:spPr>
            <a:solidFill>
              <a:schemeClr val="accent1"/>
            </a:solidFill>
            <a:ln w="12700"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AnnualPVT!$A$5:$A$23</c:f>
              <c:strCache>
                <c:ptCount val="19"/>
                <c:pt idx="0">
                  <c:v>2000</c:v>
                </c:pt>
                <c:pt idx="1">
                  <c:v>2001</c:v>
                </c:pt>
                <c:pt idx="2">
                  <c:v>2002</c:v>
                </c:pt>
                <c:pt idx="3">
                  <c:v>2003</c:v>
                </c:pt>
                <c:pt idx="4">
                  <c:v>2004</c:v>
                </c:pt>
                <c:pt idx="5">
                  <c:v>2005</c:v>
                </c:pt>
                <c:pt idx="6">
                  <c:v>2006</c:v>
                </c:pt>
                <c:pt idx="7">
                  <c:v>2007</c:v>
                </c:pt>
                <c:pt idx="8">
                  <c:v>2008</c:v>
                </c:pt>
                <c:pt idx="9">
                  <c:v>2009</c:v>
                </c:pt>
                <c:pt idx="10">
                  <c:v>2010</c:v>
                </c:pt>
                <c:pt idx="11">
                  <c:v>2011</c:v>
                </c:pt>
                <c:pt idx="12">
                  <c:v>2012</c:v>
                </c:pt>
                <c:pt idx="13">
                  <c:v>2013</c:v>
                </c:pt>
                <c:pt idx="14">
                  <c:v>2014</c:v>
                </c:pt>
                <c:pt idx="15">
                  <c:v>2015</c:v>
                </c:pt>
                <c:pt idx="16">
                  <c:v>2016</c:v>
                </c:pt>
                <c:pt idx="17">
                  <c:v>2017</c:v>
                </c:pt>
                <c:pt idx="18">
                  <c:v>2018</c:v>
                </c:pt>
              </c:strCache>
            </c:strRef>
          </c:cat>
          <c:val>
            <c:numRef>
              <c:f>AnnualPVT!$B$5:$B$23</c:f>
              <c:numCache>
                <c:formatCode>General</c:formatCode>
                <c:ptCount val="19"/>
                <c:pt idx="0">
                  <c:v>11</c:v>
                </c:pt>
                <c:pt idx="1">
                  <c:v>11</c:v>
                </c:pt>
                <c:pt idx="2">
                  <c:v>11</c:v>
                </c:pt>
                <c:pt idx="3">
                  <c:v>11</c:v>
                </c:pt>
                <c:pt idx="4">
                  <c:v>11</c:v>
                </c:pt>
                <c:pt idx="5">
                  <c:v>11</c:v>
                </c:pt>
                <c:pt idx="6">
                  <c:v>11</c:v>
                </c:pt>
                <c:pt idx="7">
                  <c:v>11</c:v>
                </c:pt>
                <c:pt idx="8">
                  <c:v>11</c:v>
                </c:pt>
                <c:pt idx="9">
                  <c:v>11</c:v>
                </c:pt>
                <c:pt idx="10">
                  <c:v>11</c:v>
                </c:pt>
                <c:pt idx="11">
                  <c:v>11</c:v>
                </c:pt>
                <c:pt idx="12">
                  <c:v>11</c:v>
                </c:pt>
                <c:pt idx="13">
                  <c:v>11</c:v>
                </c:pt>
                <c:pt idx="14">
                  <c:v>11</c:v>
                </c:pt>
                <c:pt idx="15">
                  <c:v>11</c:v>
                </c:pt>
                <c:pt idx="16">
                  <c:v>11</c:v>
                </c:pt>
                <c:pt idx="17">
                  <c:v>11</c:v>
                </c:pt>
                <c:pt idx="18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C8D-4197-B3F4-C7FDAC7E7A32}"/>
            </c:ext>
          </c:extLst>
        </c:ser>
        <c:ser>
          <c:idx val="1"/>
          <c:order val="1"/>
          <c:tx>
            <c:strRef>
              <c:f>AnnualPVT!$C$4</c:f>
              <c:strCache>
                <c:ptCount val="1"/>
                <c:pt idx="0">
                  <c:v>Ave_Amm_SO4</c:v>
                </c:pt>
              </c:strCache>
            </c:strRef>
          </c:tx>
          <c:spPr>
            <a:solidFill>
              <a:srgbClr val="FFFF00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AnnualPVT!$A$5:$A$23</c:f>
              <c:strCache>
                <c:ptCount val="19"/>
                <c:pt idx="0">
                  <c:v>2000</c:v>
                </c:pt>
                <c:pt idx="1">
                  <c:v>2001</c:v>
                </c:pt>
                <c:pt idx="2">
                  <c:v>2002</c:v>
                </c:pt>
                <c:pt idx="3">
                  <c:v>2003</c:v>
                </c:pt>
                <c:pt idx="4">
                  <c:v>2004</c:v>
                </c:pt>
                <c:pt idx="5">
                  <c:v>2005</c:v>
                </c:pt>
                <c:pt idx="6">
                  <c:v>2006</c:v>
                </c:pt>
                <c:pt idx="7">
                  <c:v>2007</c:v>
                </c:pt>
                <c:pt idx="8">
                  <c:v>2008</c:v>
                </c:pt>
                <c:pt idx="9">
                  <c:v>2009</c:v>
                </c:pt>
                <c:pt idx="10">
                  <c:v>2010</c:v>
                </c:pt>
                <c:pt idx="11">
                  <c:v>2011</c:v>
                </c:pt>
                <c:pt idx="12">
                  <c:v>2012</c:v>
                </c:pt>
                <c:pt idx="13">
                  <c:v>2013</c:v>
                </c:pt>
                <c:pt idx="14">
                  <c:v>2014</c:v>
                </c:pt>
                <c:pt idx="15">
                  <c:v>2015</c:v>
                </c:pt>
                <c:pt idx="16">
                  <c:v>2016</c:v>
                </c:pt>
                <c:pt idx="17">
                  <c:v>2017</c:v>
                </c:pt>
                <c:pt idx="18">
                  <c:v>2018</c:v>
                </c:pt>
              </c:strCache>
            </c:strRef>
          </c:cat>
          <c:val>
            <c:numRef>
              <c:f>AnnualPVT!$C$5:$C$23</c:f>
              <c:numCache>
                <c:formatCode>General</c:formatCode>
                <c:ptCount val="19"/>
                <c:pt idx="0">
                  <c:v>133.20396856240001</c:v>
                </c:pt>
                <c:pt idx="1">
                  <c:v>176.0839761645417</c:v>
                </c:pt>
                <c:pt idx="2">
                  <c:v>158.48403837062503</c:v>
                </c:pt>
                <c:pt idx="3">
                  <c:v>185.33863525587503</c:v>
                </c:pt>
                <c:pt idx="4">
                  <c:v>159.4887839820417</c:v>
                </c:pt>
                <c:pt idx="5">
                  <c:v>195.14745314972726</c:v>
                </c:pt>
                <c:pt idx="6">
                  <c:v>163.42330308579167</c:v>
                </c:pt>
                <c:pt idx="7">
                  <c:v>150.41071047337499</c:v>
                </c:pt>
                <c:pt idx="8">
                  <c:v>103.26328028556</c:v>
                </c:pt>
                <c:pt idx="9">
                  <c:v>65.801889914208331</c:v>
                </c:pt>
                <c:pt idx="10">
                  <c:v>66.646300705519991</c:v>
                </c:pt>
                <c:pt idx="11">
                  <c:v>70.068250731000006</c:v>
                </c:pt>
                <c:pt idx="12">
                  <c:v>46.788825939166664</c:v>
                </c:pt>
                <c:pt idx="13">
                  <c:v>44.629736689086961</c:v>
                </c:pt>
                <c:pt idx="14">
                  <c:v>39.688637621826096</c:v>
                </c:pt>
                <c:pt idx="15">
                  <c:v>29.42351370108695</c:v>
                </c:pt>
                <c:pt idx="16">
                  <c:v>23.963354527356515</c:v>
                </c:pt>
                <c:pt idx="17">
                  <c:v>23.415680872086959</c:v>
                </c:pt>
                <c:pt idx="18">
                  <c:v>20.579522925086955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C8D-4197-B3F4-C7FDAC7E7A32}"/>
            </c:ext>
          </c:extLst>
        </c:ser>
        <c:ser>
          <c:idx val="2"/>
          <c:order val="2"/>
          <c:tx>
            <c:strRef>
              <c:f>AnnualPVT!$D$4</c:f>
              <c:strCache>
                <c:ptCount val="1"/>
                <c:pt idx="0">
                  <c:v>Ave_Amm_NO3</c:v>
                </c:pt>
              </c:strCache>
            </c:strRef>
          </c:tx>
          <c:spPr>
            <a:solidFill>
              <a:srgbClr val="FF0000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AnnualPVT!$A$5:$A$23</c:f>
              <c:strCache>
                <c:ptCount val="19"/>
                <c:pt idx="0">
                  <c:v>2000</c:v>
                </c:pt>
                <c:pt idx="1">
                  <c:v>2001</c:v>
                </c:pt>
                <c:pt idx="2">
                  <c:v>2002</c:v>
                </c:pt>
                <c:pt idx="3">
                  <c:v>2003</c:v>
                </c:pt>
                <c:pt idx="4">
                  <c:v>2004</c:v>
                </c:pt>
                <c:pt idx="5">
                  <c:v>2005</c:v>
                </c:pt>
                <c:pt idx="6">
                  <c:v>2006</c:v>
                </c:pt>
                <c:pt idx="7">
                  <c:v>2007</c:v>
                </c:pt>
                <c:pt idx="8">
                  <c:v>2008</c:v>
                </c:pt>
                <c:pt idx="9">
                  <c:v>2009</c:v>
                </c:pt>
                <c:pt idx="10">
                  <c:v>2010</c:v>
                </c:pt>
                <c:pt idx="11">
                  <c:v>2011</c:v>
                </c:pt>
                <c:pt idx="12">
                  <c:v>2012</c:v>
                </c:pt>
                <c:pt idx="13">
                  <c:v>2013</c:v>
                </c:pt>
                <c:pt idx="14">
                  <c:v>2014</c:v>
                </c:pt>
                <c:pt idx="15">
                  <c:v>2015</c:v>
                </c:pt>
                <c:pt idx="16">
                  <c:v>2016</c:v>
                </c:pt>
                <c:pt idx="17">
                  <c:v>2017</c:v>
                </c:pt>
                <c:pt idx="18">
                  <c:v>2018</c:v>
                </c:pt>
              </c:strCache>
            </c:strRef>
          </c:cat>
          <c:val>
            <c:numRef>
              <c:f>AnnualPVT!$D$5:$D$23</c:f>
              <c:numCache>
                <c:formatCode>General</c:formatCode>
                <c:ptCount val="19"/>
                <c:pt idx="0">
                  <c:v>1.9811518589699992</c:v>
                </c:pt>
                <c:pt idx="1">
                  <c:v>2.2627645555291669</c:v>
                </c:pt>
                <c:pt idx="2">
                  <c:v>2.9953956847250001</c:v>
                </c:pt>
                <c:pt idx="3">
                  <c:v>1.9112233472583331</c:v>
                </c:pt>
                <c:pt idx="4">
                  <c:v>2.6560592930125</c:v>
                </c:pt>
                <c:pt idx="5">
                  <c:v>1.576384912863636</c:v>
                </c:pt>
                <c:pt idx="6">
                  <c:v>3.8036649021833333</c:v>
                </c:pt>
                <c:pt idx="7">
                  <c:v>2.1106987866416671</c:v>
                </c:pt>
                <c:pt idx="8">
                  <c:v>1.7816105583519999</c:v>
                </c:pt>
                <c:pt idx="9">
                  <c:v>5.079396492641667</c:v>
                </c:pt>
                <c:pt idx="10">
                  <c:v>4.2941682028560004</c:v>
                </c:pt>
                <c:pt idx="11">
                  <c:v>3.1598466699217389</c:v>
                </c:pt>
                <c:pt idx="12">
                  <c:v>3.2888587019166664</c:v>
                </c:pt>
                <c:pt idx="13">
                  <c:v>4.5219687530478279</c:v>
                </c:pt>
                <c:pt idx="14">
                  <c:v>5.6286569259652186</c:v>
                </c:pt>
                <c:pt idx="15">
                  <c:v>5.1221100426260877</c:v>
                </c:pt>
                <c:pt idx="16">
                  <c:v>5.1469891539130428</c:v>
                </c:pt>
                <c:pt idx="17">
                  <c:v>8.609341333486956</c:v>
                </c:pt>
                <c:pt idx="18">
                  <c:v>11.601437210678261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C8D-4197-B3F4-C7FDAC7E7A32}"/>
            </c:ext>
          </c:extLst>
        </c:ser>
        <c:ser>
          <c:idx val="3"/>
          <c:order val="3"/>
          <c:tx>
            <c:strRef>
              <c:f>AnnualPVT!$E$4</c:f>
              <c:strCache>
                <c:ptCount val="1"/>
                <c:pt idx="0">
                  <c:v>Ave_EOMC</c:v>
                </c:pt>
              </c:strCache>
            </c:strRef>
          </c:tx>
          <c:spPr>
            <a:solidFill>
              <a:srgbClr val="00B050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AnnualPVT!$A$5:$A$23</c:f>
              <c:strCache>
                <c:ptCount val="19"/>
                <c:pt idx="0">
                  <c:v>2000</c:v>
                </c:pt>
                <c:pt idx="1">
                  <c:v>2001</c:v>
                </c:pt>
                <c:pt idx="2">
                  <c:v>2002</c:v>
                </c:pt>
                <c:pt idx="3">
                  <c:v>2003</c:v>
                </c:pt>
                <c:pt idx="4">
                  <c:v>2004</c:v>
                </c:pt>
                <c:pt idx="5">
                  <c:v>2005</c:v>
                </c:pt>
                <c:pt idx="6">
                  <c:v>2006</c:v>
                </c:pt>
                <c:pt idx="7">
                  <c:v>2007</c:v>
                </c:pt>
                <c:pt idx="8">
                  <c:v>2008</c:v>
                </c:pt>
                <c:pt idx="9">
                  <c:v>2009</c:v>
                </c:pt>
                <c:pt idx="10">
                  <c:v>2010</c:v>
                </c:pt>
                <c:pt idx="11">
                  <c:v>2011</c:v>
                </c:pt>
                <c:pt idx="12">
                  <c:v>2012</c:v>
                </c:pt>
                <c:pt idx="13">
                  <c:v>2013</c:v>
                </c:pt>
                <c:pt idx="14">
                  <c:v>2014</c:v>
                </c:pt>
                <c:pt idx="15">
                  <c:v>2015</c:v>
                </c:pt>
                <c:pt idx="16">
                  <c:v>2016</c:v>
                </c:pt>
                <c:pt idx="17">
                  <c:v>2017</c:v>
                </c:pt>
                <c:pt idx="18">
                  <c:v>2018</c:v>
                </c:pt>
              </c:strCache>
            </c:strRef>
          </c:cat>
          <c:val>
            <c:numRef>
              <c:f>AnnualPVT!$E$5:$E$23</c:f>
              <c:numCache>
                <c:formatCode>General</c:formatCode>
                <c:ptCount val="19"/>
                <c:pt idx="0">
                  <c:v>12.191006934899999</c:v>
                </c:pt>
                <c:pt idx="1">
                  <c:v>15.231109866741667</c:v>
                </c:pt>
                <c:pt idx="2">
                  <c:v>13.56458301492917</c:v>
                </c:pt>
                <c:pt idx="3">
                  <c:v>13.986303614891666</c:v>
                </c:pt>
                <c:pt idx="4">
                  <c:v>13.903874492920835</c:v>
                </c:pt>
                <c:pt idx="5">
                  <c:v>12.575182629309092</c:v>
                </c:pt>
                <c:pt idx="6">
                  <c:v>11.32518551375</c:v>
                </c:pt>
                <c:pt idx="7">
                  <c:v>14.966351616779166</c:v>
                </c:pt>
                <c:pt idx="8">
                  <c:v>10.931854269748001</c:v>
                </c:pt>
                <c:pt idx="9">
                  <c:v>8.682586330795834</c:v>
                </c:pt>
                <c:pt idx="10">
                  <c:v>9.4055185680880005</c:v>
                </c:pt>
                <c:pt idx="11">
                  <c:v>9.9790128225739121</c:v>
                </c:pt>
                <c:pt idx="12">
                  <c:v>7.4893589875333317</c:v>
                </c:pt>
                <c:pt idx="13">
                  <c:v>6.8361057907391274</c:v>
                </c:pt>
                <c:pt idx="14">
                  <c:v>6.7936216320652187</c:v>
                </c:pt>
                <c:pt idx="15">
                  <c:v>7.1092865025869569</c:v>
                </c:pt>
                <c:pt idx="16">
                  <c:v>7.8197633864652172</c:v>
                </c:pt>
                <c:pt idx="17">
                  <c:v>8.5197567225652158</c:v>
                </c:pt>
                <c:pt idx="18">
                  <c:v>7.1827119994999986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C8D-4197-B3F4-C7FDAC7E7A32}"/>
            </c:ext>
          </c:extLst>
        </c:ser>
        <c:ser>
          <c:idx val="4"/>
          <c:order val="4"/>
          <c:tx>
            <c:strRef>
              <c:f>AnnualPVT!$F$4</c:f>
              <c:strCache>
                <c:ptCount val="1"/>
                <c:pt idx="0">
                  <c:v>Ave_ELAC</c:v>
                </c:pt>
              </c:strCache>
            </c:strRef>
          </c:tx>
          <c:spPr>
            <a:solidFill>
              <a:schemeClr val="tx1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AnnualPVT!$A$5:$A$23</c:f>
              <c:strCache>
                <c:ptCount val="19"/>
                <c:pt idx="0">
                  <c:v>2000</c:v>
                </c:pt>
                <c:pt idx="1">
                  <c:v>2001</c:v>
                </c:pt>
                <c:pt idx="2">
                  <c:v>2002</c:v>
                </c:pt>
                <c:pt idx="3">
                  <c:v>2003</c:v>
                </c:pt>
                <c:pt idx="4">
                  <c:v>2004</c:v>
                </c:pt>
                <c:pt idx="5">
                  <c:v>2005</c:v>
                </c:pt>
                <c:pt idx="6">
                  <c:v>2006</c:v>
                </c:pt>
                <c:pt idx="7">
                  <c:v>2007</c:v>
                </c:pt>
                <c:pt idx="8">
                  <c:v>2008</c:v>
                </c:pt>
                <c:pt idx="9">
                  <c:v>2009</c:v>
                </c:pt>
                <c:pt idx="10">
                  <c:v>2010</c:v>
                </c:pt>
                <c:pt idx="11">
                  <c:v>2011</c:v>
                </c:pt>
                <c:pt idx="12">
                  <c:v>2012</c:v>
                </c:pt>
                <c:pt idx="13">
                  <c:v>2013</c:v>
                </c:pt>
                <c:pt idx="14">
                  <c:v>2014</c:v>
                </c:pt>
                <c:pt idx="15">
                  <c:v>2015</c:v>
                </c:pt>
                <c:pt idx="16">
                  <c:v>2016</c:v>
                </c:pt>
                <c:pt idx="17">
                  <c:v>2017</c:v>
                </c:pt>
                <c:pt idx="18">
                  <c:v>2018</c:v>
                </c:pt>
              </c:strCache>
            </c:strRef>
          </c:cat>
          <c:val>
            <c:numRef>
              <c:f>AnnualPVT!$F$5:$F$23</c:f>
              <c:numCache>
                <c:formatCode>General</c:formatCode>
                <c:ptCount val="19"/>
                <c:pt idx="0">
                  <c:v>5.3325500000000003</c:v>
                </c:pt>
                <c:pt idx="1">
                  <c:v>4.5087916666666663</c:v>
                </c:pt>
                <c:pt idx="2">
                  <c:v>4.1247916666666669</c:v>
                </c:pt>
                <c:pt idx="3">
                  <c:v>5.4362916666666665</c:v>
                </c:pt>
                <c:pt idx="4">
                  <c:v>4.4352916666666671</c:v>
                </c:pt>
                <c:pt idx="5">
                  <c:v>5.3249545454545446</c:v>
                </c:pt>
                <c:pt idx="6">
                  <c:v>4.729541666666667</c:v>
                </c:pt>
                <c:pt idx="7">
                  <c:v>4.4545833333333338</c:v>
                </c:pt>
                <c:pt idx="8">
                  <c:v>3.4136399999999996</c:v>
                </c:pt>
                <c:pt idx="9">
                  <c:v>3.405791666666667</c:v>
                </c:pt>
                <c:pt idx="10">
                  <c:v>3.3178399999999999</c:v>
                </c:pt>
                <c:pt idx="11">
                  <c:v>3.2408260869565226</c:v>
                </c:pt>
                <c:pt idx="12">
                  <c:v>3.022041666666667</c:v>
                </c:pt>
                <c:pt idx="13">
                  <c:v>2.6113478260869569</c:v>
                </c:pt>
                <c:pt idx="14">
                  <c:v>2.7032173913043476</c:v>
                </c:pt>
                <c:pt idx="15">
                  <c:v>2.2484826086956522</c:v>
                </c:pt>
                <c:pt idx="16">
                  <c:v>2.268869565217392</c:v>
                </c:pt>
                <c:pt idx="17">
                  <c:v>2.3866608695652176</c:v>
                </c:pt>
                <c:pt idx="18">
                  <c:v>2.7437739130434786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C8D-4197-B3F4-C7FDAC7E7A32}"/>
            </c:ext>
          </c:extLst>
        </c:ser>
        <c:ser>
          <c:idx val="5"/>
          <c:order val="5"/>
          <c:tx>
            <c:strRef>
              <c:f>AnnualPVT!$G$4</c:f>
              <c:strCache>
                <c:ptCount val="1"/>
                <c:pt idx="0">
                  <c:v>Ave_ESoil</c:v>
                </c:pt>
              </c:strCache>
            </c:strRef>
          </c:tx>
          <c:spPr>
            <a:solidFill>
              <a:schemeClr val="accent4">
                <a:lumMod val="75000"/>
              </a:schemeClr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AnnualPVT!$A$5:$A$23</c:f>
              <c:strCache>
                <c:ptCount val="19"/>
                <c:pt idx="0">
                  <c:v>2000</c:v>
                </c:pt>
                <c:pt idx="1">
                  <c:v>2001</c:v>
                </c:pt>
                <c:pt idx="2">
                  <c:v>2002</c:v>
                </c:pt>
                <c:pt idx="3">
                  <c:v>2003</c:v>
                </c:pt>
                <c:pt idx="4">
                  <c:v>2004</c:v>
                </c:pt>
                <c:pt idx="5">
                  <c:v>2005</c:v>
                </c:pt>
                <c:pt idx="6">
                  <c:v>2006</c:v>
                </c:pt>
                <c:pt idx="7">
                  <c:v>2007</c:v>
                </c:pt>
                <c:pt idx="8">
                  <c:v>2008</c:v>
                </c:pt>
                <c:pt idx="9">
                  <c:v>2009</c:v>
                </c:pt>
                <c:pt idx="10">
                  <c:v>2010</c:v>
                </c:pt>
                <c:pt idx="11">
                  <c:v>2011</c:v>
                </c:pt>
                <c:pt idx="12">
                  <c:v>2012</c:v>
                </c:pt>
                <c:pt idx="13">
                  <c:v>2013</c:v>
                </c:pt>
                <c:pt idx="14">
                  <c:v>2014</c:v>
                </c:pt>
                <c:pt idx="15">
                  <c:v>2015</c:v>
                </c:pt>
                <c:pt idx="16">
                  <c:v>2016</c:v>
                </c:pt>
                <c:pt idx="17">
                  <c:v>2017</c:v>
                </c:pt>
                <c:pt idx="18">
                  <c:v>2018</c:v>
                </c:pt>
              </c:strCache>
            </c:strRef>
          </c:cat>
          <c:val>
            <c:numRef>
              <c:f>AnnualPVT!$G$5:$G$23</c:f>
              <c:numCache>
                <c:formatCode>General</c:formatCode>
                <c:ptCount val="19"/>
                <c:pt idx="0">
                  <c:v>0.39703243999999999</c:v>
                </c:pt>
                <c:pt idx="1">
                  <c:v>0.7647618625</c:v>
                </c:pt>
                <c:pt idx="2">
                  <c:v>0.86373189583333321</c:v>
                </c:pt>
                <c:pt idx="3">
                  <c:v>0.60885292083333331</c:v>
                </c:pt>
                <c:pt idx="4">
                  <c:v>0.94535492083333317</c:v>
                </c:pt>
                <c:pt idx="5">
                  <c:v>0.49214751818181812</c:v>
                </c:pt>
                <c:pt idx="6">
                  <c:v>0.75890949374999994</c:v>
                </c:pt>
                <c:pt idx="7">
                  <c:v>0.82053044375000006</c:v>
                </c:pt>
                <c:pt idx="8">
                  <c:v>0.71012697999999996</c:v>
                </c:pt>
                <c:pt idx="9">
                  <c:v>0.51320053750000005</c:v>
                </c:pt>
                <c:pt idx="10">
                  <c:v>0.60431061200000014</c:v>
                </c:pt>
                <c:pt idx="11">
                  <c:v>0.30389073913043468</c:v>
                </c:pt>
                <c:pt idx="12">
                  <c:v>0.37911415416666655</c:v>
                </c:pt>
                <c:pt idx="13">
                  <c:v>0.24737454782608698</c:v>
                </c:pt>
                <c:pt idx="14">
                  <c:v>0.34715773913043479</c:v>
                </c:pt>
                <c:pt idx="15">
                  <c:v>0.27315962608695654</c:v>
                </c:pt>
                <c:pt idx="16">
                  <c:v>0.31911172608695648</c:v>
                </c:pt>
                <c:pt idx="17">
                  <c:v>0.1922106695652174</c:v>
                </c:pt>
                <c:pt idx="18">
                  <c:v>0.22094526521739127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C8D-4197-B3F4-C7FDAC7E7A32}"/>
            </c:ext>
          </c:extLst>
        </c:ser>
        <c:ser>
          <c:idx val="6"/>
          <c:order val="6"/>
          <c:tx>
            <c:strRef>
              <c:f>AnnualPVT!$H$4</c:f>
              <c:strCache>
                <c:ptCount val="1"/>
                <c:pt idx="0">
                  <c:v>Ave_ECM</c:v>
                </c:pt>
              </c:strCache>
            </c:strRef>
          </c:tx>
          <c:spPr>
            <a:solidFill>
              <a:schemeClr val="bg1">
                <a:lumMod val="85000"/>
              </a:schemeClr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AnnualPVT!$A$5:$A$23</c:f>
              <c:strCache>
                <c:ptCount val="19"/>
                <c:pt idx="0">
                  <c:v>2000</c:v>
                </c:pt>
                <c:pt idx="1">
                  <c:v>2001</c:v>
                </c:pt>
                <c:pt idx="2">
                  <c:v>2002</c:v>
                </c:pt>
                <c:pt idx="3">
                  <c:v>2003</c:v>
                </c:pt>
                <c:pt idx="4">
                  <c:v>2004</c:v>
                </c:pt>
                <c:pt idx="5">
                  <c:v>2005</c:v>
                </c:pt>
                <c:pt idx="6">
                  <c:v>2006</c:v>
                </c:pt>
                <c:pt idx="7">
                  <c:v>2007</c:v>
                </c:pt>
                <c:pt idx="8">
                  <c:v>2008</c:v>
                </c:pt>
                <c:pt idx="9">
                  <c:v>2009</c:v>
                </c:pt>
                <c:pt idx="10">
                  <c:v>2010</c:v>
                </c:pt>
                <c:pt idx="11">
                  <c:v>2011</c:v>
                </c:pt>
                <c:pt idx="12">
                  <c:v>2012</c:v>
                </c:pt>
                <c:pt idx="13">
                  <c:v>2013</c:v>
                </c:pt>
                <c:pt idx="14">
                  <c:v>2014</c:v>
                </c:pt>
                <c:pt idx="15">
                  <c:v>2015</c:v>
                </c:pt>
                <c:pt idx="16">
                  <c:v>2016</c:v>
                </c:pt>
                <c:pt idx="17">
                  <c:v>2017</c:v>
                </c:pt>
                <c:pt idx="18">
                  <c:v>2018</c:v>
                </c:pt>
              </c:strCache>
            </c:strRef>
          </c:cat>
          <c:val>
            <c:numRef>
              <c:f>AnnualPVT!$H$5:$H$23</c:f>
              <c:numCache>
                <c:formatCode>General</c:formatCode>
                <c:ptCount val="19"/>
                <c:pt idx="0">
                  <c:v>1.4641859999999998</c:v>
                </c:pt>
                <c:pt idx="1">
                  <c:v>2.1838859999999998</c:v>
                </c:pt>
                <c:pt idx="2">
                  <c:v>1.4179647500000001</c:v>
                </c:pt>
                <c:pt idx="3">
                  <c:v>1.5123499999999999</c:v>
                </c:pt>
                <c:pt idx="4">
                  <c:v>1.1889514999999999</c:v>
                </c:pt>
                <c:pt idx="5">
                  <c:v>2.0991490909090911</c:v>
                </c:pt>
                <c:pt idx="6">
                  <c:v>2.2489494999999997</c:v>
                </c:pt>
                <c:pt idx="7">
                  <c:v>3.1773249999999993</c:v>
                </c:pt>
                <c:pt idx="8">
                  <c:v>2.2309560000000004</c:v>
                </c:pt>
                <c:pt idx="9">
                  <c:v>1.8110375000000005</c:v>
                </c:pt>
                <c:pt idx="10">
                  <c:v>2.2433601599999999</c:v>
                </c:pt>
                <c:pt idx="11">
                  <c:v>1.301327739130435</c:v>
                </c:pt>
                <c:pt idx="12">
                  <c:v>2.4752550000000002</c:v>
                </c:pt>
                <c:pt idx="13">
                  <c:v>1.8628455652173914</c:v>
                </c:pt>
                <c:pt idx="14">
                  <c:v>2.1142460869565221</c:v>
                </c:pt>
                <c:pt idx="15">
                  <c:v>1.9293383478260868</c:v>
                </c:pt>
                <c:pt idx="16">
                  <c:v>2.0313185739130439</c:v>
                </c:pt>
                <c:pt idx="17">
                  <c:v>2.4971407826086951</c:v>
                </c:pt>
                <c:pt idx="18">
                  <c:v>2.0288791304347829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C8D-4197-B3F4-C7FDAC7E7A32}"/>
            </c:ext>
          </c:extLst>
        </c:ser>
        <c:ser>
          <c:idx val="7"/>
          <c:order val="7"/>
          <c:tx>
            <c:strRef>
              <c:f>AnnualPVT!$I$4</c:f>
              <c:strCache>
                <c:ptCount val="1"/>
                <c:pt idx="0">
                  <c:v>Ave_ESea_Salt</c:v>
                </c:pt>
              </c:strCache>
            </c:strRef>
          </c:tx>
          <c:spPr>
            <a:solidFill>
              <a:schemeClr val="accent1">
                <a:lumMod val="40000"/>
                <a:lumOff val="60000"/>
              </a:schemeClr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AnnualPVT!$A$5:$A$23</c:f>
              <c:strCache>
                <c:ptCount val="19"/>
                <c:pt idx="0">
                  <c:v>2000</c:v>
                </c:pt>
                <c:pt idx="1">
                  <c:v>2001</c:v>
                </c:pt>
                <c:pt idx="2">
                  <c:v>2002</c:v>
                </c:pt>
                <c:pt idx="3">
                  <c:v>2003</c:v>
                </c:pt>
                <c:pt idx="4">
                  <c:v>2004</c:v>
                </c:pt>
                <c:pt idx="5">
                  <c:v>2005</c:v>
                </c:pt>
                <c:pt idx="6">
                  <c:v>2006</c:v>
                </c:pt>
                <c:pt idx="7">
                  <c:v>2007</c:v>
                </c:pt>
                <c:pt idx="8">
                  <c:v>2008</c:v>
                </c:pt>
                <c:pt idx="9">
                  <c:v>2009</c:v>
                </c:pt>
                <c:pt idx="10">
                  <c:v>2010</c:v>
                </c:pt>
                <c:pt idx="11">
                  <c:v>2011</c:v>
                </c:pt>
                <c:pt idx="12">
                  <c:v>2012</c:v>
                </c:pt>
                <c:pt idx="13">
                  <c:v>2013</c:v>
                </c:pt>
                <c:pt idx="14">
                  <c:v>2014</c:v>
                </c:pt>
                <c:pt idx="15">
                  <c:v>2015</c:v>
                </c:pt>
                <c:pt idx="16">
                  <c:v>2016</c:v>
                </c:pt>
                <c:pt idx="17">
                  <c:v>2017</c:v>
                </c:pt>
                <c:pt idx="18">
                  <c:v>2018</c:v>
                </c:pt>
              </c:strCache>
            </c:strRef>
          </c:cat>
          <c:val>
            <c:numRef>
              <c:f>AnnualPVT!$I$5:$I$23</c:f>
              <c:numCache>
                <c:formatCode>General</c:formatCode>
                <c:ptCount val="19"/>
                <c:pt idx="0">
                  <c:v>3.0012502949999992E-2</c:v>
                </c:pt>
                <c:pt idx="1">
                  <c:v>0.45899793449999998</c:v>
                </c:pt>
                <c:pt idx="2">
                  <c:v>5.9383507500000007E-3</c:v>
                </c:pt>
                <c:pt idx="3">
                  <c:v>4.9940475000000003E-3</c:v>
                </c:pt>
                <c:pt idx="4">
                  <c:v>0.28350598462500004</c:v>
                </c:pt>
                <c:pt idx="5">
                  <c:v>0.15033648559090912</c:v>
                </c:pt>
                <c:pt idx="6">
                  <c:v>0.27918035587499995</c:v>
                </c:pt>
                <c:pt idx="7">
                  <c:v>0.32676491137500002</c:v>
                </c:pt>
                <c:pt idx="8">
                  <c:v>9.4899865680000015E-2</c:v>
                </c:pt>
                <c:pt idx="9">
                  <c:v>0.13188886874999997</c:v>
                </c:pt>
                <c:pt idx="10">
                  <c:v>4.0608519480000001E-2</c:v>
                </c:pt>
                <c:pt idx="11">
                  <c:v>0.32539318904347819</c:v>
                </c:pt>
                <c:pt idx="12">
                  <c:v>0.30271451624999995</c:v>
                </c:pt>
                <c:pt idx="13">
                  <c:v>0.3412361926956522</c:v>
                </c:pt>
                <c:pt idx="14">
                  <c:v>0.25731625147826087</c:v>
                </c:pt>
                <c:pt idx="15">
                  <c:v>0.14991816756521736</c:v>
                </c:pt>
                <c:pt idx="16">
                  <c:v>0.25490716669565217</c:v>
                </c:pt>
                <c:pt idx="17">
                  <c:v>0.24903787382608694</c:v>
                </c:pt>
                <c:pt idx="18">
                  <c:v>0.25657546539130438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3C8D-4197-B3F4-C7FDAC7E7A3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5"/>
        <c:overlap val="100"/>
        <c:axId val="838290880"/>
        <c:axId val="838291208"/>
      </c:barChart>
      <c:lineChart>
        <c:grouping val="standard"/>
        <c:varyColors val="0"/>
        <c:ser>
          <c:idx val="8"/>
          <c:order val="8"/>
          <c:tx>
            <c:strRef>
              <c:f>AnnualPVT!$J$4</c:f>
              <c:strCache>
                <c:ptCount val="1"/>
                <c:pt idx="0">
                  <c:v>Ave_DV</c:v>
                </c:pt>
              </c:strCache>
            </c:strRef>
          </c:tx>
          <c:spPr>
            <a:ln w="28575" cap="rnd">
              <a:solidFill>
                <a:schemeClr val="tx1">
                  <a:alpha val="60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AnnualPVT!$A$5:$A$23</c:f>
              <c:strCache>
                <c:ptCount val="19"/>
                <c:pt idx="0">
                  <c:v>2000</c:v>
                </c:pt>
                <c:pt idx="1">
                  <c:v>2001</c:v>
                </c:pt>
                <c:pt idx="2">
                  <c:v>2002</c:v>
                </c:pt>
                <c:pt idx="3">
                  <c:v>2003</c:v>
                </c:pt>
                <c:pt idx="4">
                  <c:v>2004</c:v>
                </c:pt>
                <c:pt idx="5">
                  <c:v>2005</c:v>
                </c:pt>
                <c:pt idx="6">
                  <c:v>2006</c:v>
                </c:pt>
                <c:pt idx="7">
                  <c:v>2007</c:v>
                </c:pt>
                <c:pt idx="8">
                  <c:v>2008</c:v>
                </c:pt>
                <c:pt idx="9">
                  <c:v>2009</c:v>
                </c:pt>
                <c:pt idx="10">
                  <c:v>2010</c:v>
                </c:pt>
                <c:pt idx="11">
                  <c:v>2011</c:v>
                </c:pt>
                <c:pt idx="12">
                  <c:v>2012</c:v>
                </c:pt>
                <c:pt idx="13">
                  <c:v>2013</c:v>
                </c:pt>
                <c:pt idx="14">
                  <c:v>2014</c:v>
                </c:pt>
                <c:pt idx="15">
                  <c:v>2015</c:v>
                </c:pt>
                <c:pt idx="16">
                  <c:v>2016</c:v>
                </c:pt>
                <c:pt idx="17">
                  <c:v>2017</c:v>
                </c:pt>
                <c:pt idx="18">
                  <c:v>2018</c:v>
                </c:pt>
              </c:strCache>
            </c:strRef>
          </c:cat>
          <c:val>
            <c:numRef>
              <c:f>AnnualPVT!$J$5:$J$23</c:f>
              <c:numCache>
                <c:formatCode>General</c:formatCode>
                <c:ptCount val="19"/>
                <c:pt idx="0">
                  <c:v>27.301114711100002</c:v>
                </c:pt>
                <c:pt idx="1">
                  <c:v>30.111310176041659</c:v>
                </c:pt>
                <c:pt idx="2">
                  <c:v>28.853108757125</c:v>
                </c:pt>
                <c:pt idx="3">
                  <c:v>30.14880984558333</c:v>
                </c:pt>
                <c:pt idx="4">
                  <c:v>29.366627711458339</c:v>
                </c:pt>
                <c:pt idx="5">
                  <c:v>30.736439277500004</c:v>
                </c:pt>
                <c:pt idx="6">
                  <c:v>29.175910740541667</c:v>
                </c:pt>
                <c:pt idx="7">
                  <c:v>28.755737176083333</c:v>
                </c:pt>
                <c:pt idx="8">
                  <c:v>25.323656302239996</c:v>
                </c:pt>
                <c:pt idx="9">
                  <c:v>22.231850110624993</c:v>
                </c:pt>
                <c:pt idx="10">
                  <c:v>22.508245102519997</c:v>
                </c:pt>
                <c:pt idx="11">
                  <c:v>22.694168069652175</c:v>
                </c:pt>
                <c:pt idx="12">
                  <c:v>19.942085322249998</c:v>
                </c:pt>
                <c:pt idx="13">
                  <c:v>19.561175872000003</c:v>
                </c:pt>
                <c:pt idx="14">
                  <c:v>19.060836043130433</c:v>
                </c:pt>
                <c:pt idx="15">
                  <c:v>17.10912644247826</c:v>
                </c:pt>
                <c:pt idx="16">
                  <c:v>16.448076081826091</c:v>
                </c:pt>
                <c:pt idx="17">
                  <c:v>16.97131097626087</c:v>
                </c:pt>
                <c:pt idx="18">
                  <c:v>16.807530921217392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3C8D-4197-B3F4-C7FDAC7E7A3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85018528"/>
        <c:axId val="683470928"/>
      </c:lineChart>
      <c:catAx>
        <c:axId val="8382908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38291208"/>
        <c:crosses val="autoZero"/>
        <c:auto val="1"/>
        <c:lblAlgn val="ctr"/>
        <c:lblOffset val="100"/>
        <c:noMultiLvlLbl val="0"/>
      </c:catAx>
      <c:valAx>
        <c:axId val="8382912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/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Inverse Megameters (Mm-1)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38290880"/>
        <c:crosses val="autoZero"/>
        <c:crossBetween val="between"/>
      </c:valAx>
      <c:valAx>
        <c:axId val="683470928"/>
        <c:scaling>
          <c:orientation val="minMax"/>
        </c:scaling>
        <c:delete val="0"/>
        <c:axPos val="r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Deciviews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85018528"/>
        <c:crosses val="max"/>
        <c:crossBetween val="between"/>
      </c:valAx>
      <c:catAx>
        <c:axId val="58501852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683470928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6.9532036906505088E-3"/>
          <c:y val="0.89575443244614095"/>
          <c:w val="0.98756039139735197"/>
          <c:h val="5.2123022579059812E-2"/>
        </c:manualLayout>
      </c:layout>
      <c:overlay val="0"/>
      <c:spPr>
        <a:solidFill>
          <a:sysClr val="window" lastClr="FFFFFF"/>
        </a:solidFill>
        <a:ln>
          <a:solidFill>
            <a:schemeClr val="tx1"/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pivotSource>
    <c:name>[JARI_DailyStackBarChart_07-09-2020.xlsx]AnnualPVT!PivotTable1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0" i="0" u="none" strike="noStrike" kern="1200" spc="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James River Face Wilderness Area </a:t>
            </a:r>
          </a:p>
          <a:p>
            <a:pPr>
              <a:defRPr sz="1800">
                <a:solidFill>
                  <a:schemeClr val="tx1"/>
                </a:solidFill>
              </a:defRPr>
            </a:pPr>
            <a:r>
              <a:rPr lang="en-US"/>
              <a:t>Annual Average of 20% Most Impaired Days, Visibility Impairment by Species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0" i="0" u="none" strike="noStrike" kern="1200" spc="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2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3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4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5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6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7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8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9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0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1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2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3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4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5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6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dLbl>
      </c:pivotFmt>
      <c:pivotFmt>
        <c:idx val="17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8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9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0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1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2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3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4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5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6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7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8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9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0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1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2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3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4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5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6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7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8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9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0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1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2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3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4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5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6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7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8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9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0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1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2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3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4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5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6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7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8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9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0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1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2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3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4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5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6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7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8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69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0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1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2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3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4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5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6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7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8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9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0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1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2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3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4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5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6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7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8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89"/>
        <c:spPr>
          <a:solidFill>
            <a:schemeClr val="accent1"/>
          </a:solidFill>
          <a:ln w="12700"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0"/>
        <c:spPr>
          <a:solidFill>
            <a:srgbClr val="FFFF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1"/>
        <c:spPr>
          <a:solidFill>
            <a:srgbClr val="FF000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2"/>
        <c:spPr>
          <a:solidFill>
            <a:srgbClr val="00B050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3"/>
        <c:spPr>
          <a:solidFill>
            <a:schemeClr val="tx1"/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4"/>
        <c:spPr>
          <a:solidFill>
            <a:schemeClr val="accent4">
              <a:lumMod val="7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5"/>
        <c:spPr>
          <a:solidFill>
            <a:schemeClr val="bg1">
              <a:lumMod val="85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6"/>
        <c:spPr>
          <a:solidFill>
            <a:schemeClr val="accent1">
              <a:lumMod val="40000"/>
              <a:lumOff val="60000"/>
            </a:schemeClr>
          </a:solidFill>
          <a:ln>
            <a:solidFill>
              <a:schemeClr val="tx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7"/>
        <c:spPr>
          <a:solidFill>
            <a:schemeClr val="accent1"/>
          </a:solidFill>
          <a:ln w="28575" cap="rnd">
            <a:solidFill>
              <a:schemeClr val="tx1">
                <a:alpha val="60000"/>
              </a:schemeClr>
            </a:solidFill>
            <a:round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>
        <c:manualLayout>
          <c:layoutTarget val="inner"/>
          <c:xMode val="edge"/>
          <c:yMode val="edge"/>
          <c:x val="7.2950024548667752E-2"/>
          <c:y val="0.20928061495050984"/>
          <c:w val="0.86078855333332327"/>
          <c:h val="0.63552649740477807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AnnualPVT!$B$4</c:f>
              <c:strCache>
                <c:ptCount val="1"/>
                <c:pt idx="0">
                  <c:v>Ave_ss_rayleigh</c:v>
                </c:pt>
              </c:strCache>
            </c:strRef>
          </c:tx>
          <c:spPr>
            <a:solidFill>
              <a:schemeClr val="accent1"/>
            </a:solidFill>
            <a:ln w="12700"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AnnualPVT!$A$5:$A$22</c:f>
              <c:strCache>
                <c:ptCount val="18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</c:strCache>
            </c:strRef>
          </c:cat>
          <c:val>
            <c:numRef>
              <c:f>AnnualPVT!$B$5:$B$22</c:f>
              <c:numCache>
                <c:formatCode>General</c:formatCode>
                <c:ptCount val="18"/>
                <c:pt idx="0">
                  <c:v>11</c:v>
                </c:pt>
                <c:pt idx="1">
                  <c:v>11</c:v>
                </c:pt>
                <c:pt idx="2">
                  <c:v>11</c:v>
                </c:pt>
                <c:pt idx="3">
                  <c:v>11</c:v>
                </c:pt>
                <c:pt idx="4">
                  <c:v>11</c:v>
                </c:pt>
                <c:pt idx="5">
                  <c:v>11</c:v>
                </c:pt>
                <c:pt idx="6">
                  <c:v>11</c:v>
                </c:pt>
                <c:pt idx="7">
                  <c:v>11</c:v>
                </c:pt>
                <c:pt idx="8">
                  <c:v>11</c:v>
                </c:pt>
                <c:pt idx="9">
                  <c:v>11</c:v>
                </c:pt>
                <c:pt idx="10">
                  <c:v>11</c:v>
                </c:pt>
                <c:pt idx="11">
                  <c:v>11</c:v>
                </c:pt>
                <c:pt idx="12">
                  <c:v>11</c:v>
                </c:pt>
                <c:pt idx="13">
                  <c:v>11</c:v>
                </c:pt>
                <c:pt idx="14">
                  <c:v>11</c:v>
                </c:pt>
                <c:pt idx="15">
                  <c:v>11</c:v>
                </c:pt>
                <c:pt idx="16">
                  <c:v>11</c:v>
                </c:pt>
                <c:pt idx="17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DA0-4CBE-AA9E-DC12865BFF4E}"/>
            </c:ext>
          </c:extLst>
        </c:ser>
        <c:ser>
          <c:idx val="1"/>
          <c:order val="1"/>
          <c:tx>
            <c:strRef>
              <c:f>AnnualPVT!$C$4</c:f>
              <c:strCache>
                <c:ptCount val="1"/>
                <c:pt idx="0">
                  <c:v>Ave_Amm_SO4</c:v>
                </c:pt>
              </c:strCache>
            </c:strRef>
          </c:tx>
          <c:spPr>
            <a:solidFill>
              <a:srgbClr val="FFFF00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AnnualPVT!$A$5:$A$22</c:f>
              <c:strCache>
                <c:ptCount val="18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</c:strCache>
            </c:strRef>
          </c:cat>
          <c:val>
            <c:numRef>
              <c:f>AnnualPVT!$C$5:$C$22</c:f>
              <c:numCache>
                <c:formatCode>General</c:formatCode>
                <c:ptCount val="18"/>
                <c:pt idx="0">
                  <c:v>132.29035881365218</c:v>
                </c:pt>
                <c:pt idx="1">
                  <c:v>148.07978385200002</c:v>
                </c:pt>
                <c:pt idx="2">
                  <c:v>124.72953776845831</c:v>
                </c:pt>
                <c:pt idx="3">
                  <c:v>122.23926838707997</c:v>
                </c:pt>
                <c:pt idx="4">
                  <c:v>174.51071900596003</c:v>
                </c:pt>
                <c:pt idx="5">
                  <c:v>134.48697657675999</c:v>
                </c:pt>
                <c:pt idx="6">
                  <c:v>125.56696714600002</c:v>
                </c:pt>
                <c:pt idx="7">
                  <c:v>77.673099554458318</c:v>
                </c:pt>
                <c:pt idx="8">
                  <c:v>63.002945896625</c:v>
                </c:pt>
                <c:pt idx="9">
                  <c:v>65.031861480958327</c:v>
                </c:pt>
                <c:pt idx="10">
                  <c:v>66.90823990108332</c:v>
                </c:pt>
                <c:pt idx="11">
                  <c:v>40.659619698952383</c:v>
                </c:pt>
                <c:pt idx="12">
                  <c:v>37.53066423975001</c:v>
                </c:pt>
                <c:pt idx="13">
                  <c:v>36.977524552833337</c:v>
                </c:pt>
                <c:pt idx="14">
                  <c:v>32.045074009833336</c:v>
                </c:pt>
                <c:pt idx="15">
                  <c:v>24.011743163708331</c:v>
                </c:pt>
                <c:pt idx="16">
                  <c:v>21.548305861666666</c:v>
                </c:pt>
                <c:pt idx="17">
                  <c:v>20.230482973479162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DA0-4CBE-AA9E-DC12865BFF4E}"/>
            </c:ext>
          </c:extLst>
        </c:ser>
        <c:ser>
          <c:idx val="2"/>
          <c:order val="2"/>
          <c:tx>
            <c:strRef>
              <c:f>AnnualPVT!$D$4</c:f>
              <c:strCache>
                <c:ptCount val="1"/>
                <c:pt idx="0">
                  <c:v>Ave_Amm_NO3</c:v>
                </c:pt>
              </c:strCache>
            </c:strRef>
          </c:tx>
          <c:spPr>
            <a:solidFill>
              <a:srgbClr val="FF0000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AnnualPVT!$A$5:$A$22</c:f>
              <c:strCache>
                <c:ptCount val="18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</c:strCache>
            </c:strRef>
          </c:cat>
          <c:val>
            <c:numRef>
              <c:f>AnnualPVT!$D$5:$D$22</c:f>
              <c:numCache>
                <c:formatCode>General</c:formatCode>
                <c:ptCount val="18"/>
                <c:pt idx="0">
                  <c:v>7.2127255741826088</c:v>
                </c:pt>
                <c:pt idx="1">
                  <c:v>4.0817373845958329</c:v>
                </c:pt>
                <c:pt idx="2">
                  <c:v>4.8801693873999996</c:v>
                </c:pt>
                <c:pt idx="3">
                  <c:v>3.6224451605040016</c:v>
                </c:pt>
                <c:pt idx="4">
                  <c:v>3.7972487210479993</c:v>
                </c:pt>
                <c:pt idx="5">
                  <c:v>2.9221410198319999</c:v>
                </c:pt>
                <c:pt idx="6">
                  <c:v>3.6712971221666666</c:v>
                </c:pt>
                <c:pt idx="7">
                  <c:v>4.1058806446874998</c:v>
                </c:pt>
                <c:pt idx="8">
                  <c:v>2.5946585434916671</c:v>
                </c:pt>
                <c:pt idx="9">
                  <c:v>4.4434917413250004</c:v>
                </c:pt>
                <c:pt idx="10">
                  <c:v>5.524087280220833</c:v>
                </c:pt>
                <c:pt idx="11">
                  <c:v>4.3408263112380956</c:v>
                </c:pt>
                <c:pt idx="12">
                  <c:v>3.8115171880083332</c:v>
                </c:pt>
                <c:pt idx="13">
                  <c:v>8.8556281905000009</c:v>
                </c:pt>
                <c:pt idx="14">
                  <c:v>4.6974961135791666</c:v>
                </c:pt>
                <c:pt idx="15">
                  <c:v>6.1615380031208318</c:v>
                </c:pt>
                <c:pt idx="16">
                  <c:v>5.9999436959874997</c:v>
                </c:pt>
                <c:pt idx="17">
                  <c:v>9.583254018970834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DA0-4CBE-AA9E-DC12865BFF4E}"/>
            </c:ext>
          </c:extLst>
        </c:ser>
        <c:ser>
          <c:idx val="3"/>
          <c:order val="3"/>
          <c:tx>
            <c:strRef>
              <c:f>AnnualPVT!$E$4</c:f>
              <c:strCache>
                <c:ptCount val="1"/>
                <c:pt idx="0">
                  <c:v>Ave_EOMC</c:v>
                </c:pt>
              </c:strCache>
            </c:strRef>
          </c:tx>
          <c:spPr>
            <a:solidFill>
              <a:srgbClr val="00B050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AnnualPVT!$A$5:$A$22</c:f>
              <c:strCache>
                <c:ptCount val="18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</c:strCache>
            </c:strRef>
          </c:cat>
          <c:val>
            <c:numRef>
              <c:f>AnnualPVT!$E$5:$E$22</c:f>
              <c:numCache>
                <c:formatCode>General</c:formatCode>
                <c:ptCount val="18"/>
                <c:pt idx="0">
                  <c:v>16.832272530604346</c:v>
                </c:pt>
                <c:pt idx="1">
                  <c:v>15.064473513920833</c:v>
                </c:pt>
                <c:pt idx="2">
                  <c:v>14.773646634875002</c:v>
                </c:pt>
                <c:pt idx="3">
                  <c:v>15.362227958316</c:v>
                </c:pt>
                <c:pt idx="4">
                  <c:v>14.247067156348001</c:v>
                </c:pt>
                <c:pt idx="5">
                  <c:v>15.074726435628001</c:v>
                </c:pt>
                <c:pt idx="6">
                  <c:v>15.066991983866664</c:v>
                </c:pt>
                <c:pt idx="7">
                  <c:v>13.017375000162501</c:v>
                </c:pt>
                <c:pt idx="8">
                  <c:v>10.215863471904166</c:v>
                </c:pt>
                <c:pt idx="9">
                  <c:v>13.709212382012501</c:v>
                </c:pt>
                <c:pt idx="10">
                  <c:v>12.151486618620835</c:v>
                </c:pt>
                <c:pt idx="11">
                  <c:v>11.735516158580953</c:v>
                </c:pt>
                <c:pt idx="12">
                  <c:v>8.6118255688458323</c:v>
                </c:pt>
                <c:pt idx="13">
                  <c:v>7.3488854094541685</c:v>
                </c:pt>
                <c:pt idx="14">
                  <c:v>10.098360380816667</c:v>
                </c:pt>
                <c:pt idx="15">
                  <c:v>10.379141826708333</c:v>
                </c:pt>
                <c:pt idx="16">
                  <c:v>11.892795349087498</c:v>
                </c:pt>
                <c:pt idx="17">
                  <c:v>10.786631710233332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DA0-4CBE-AA9E-DC12865BFF4E}"/>
            </c:ext>
          </c:extLst>
        </c:ser>
        <c:ser>
          <c:idx val="4"/>
          <c:order val="4"/>
          <c:tx>
            <c:strRef>
              <c:f>AnnualPVT!$F$4</c:f>
              <c:strCache>
                <c:ptCount val="1"/>
                <c:pt idx="0">
                  <c:v>Ave_ELAC</c:v>
                </c:pt>
              </c:strCache>
            </c:strRef>
          </c:tx>
          <c:spPr>
            <a:solidFill>
              <a:schemeClr val="tx1"/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AnnualPVT!$A$5:$A$22</c:f>
              <c:strCache>
                <c:ptCount val="18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</c:strCache>
            </c:strRef>
          </c:cat>
          <c:val>
            <c:numRef>
              <c:f>AnnualPVT!$F$5:$F$22</c:f>
              <c:numCache>
                <c:formatCode>General</c:formatCode>
                <c:ptCount val="18"/>
                <c:pt idx="0">
                  <c:v>6.920347826086954</c:v>
                </c:pt>
                <c:pt idx="1">
                  <c:v>5.7829583333333341</c:v>
                </c:pt>
                <c:pt idx="2">
                  <c:v>6.4410833333333342</c:v>
                </c:pt>
                <c:pt idx="3">
                  <c:v>5.8388399999999994</c:v>
                </c:pt>
                <c:pt idx="4">
                  <c:v>8.2945200000000003</c:v>
                </c:pt>
                <c:pt idx="5">
                  <c:v>6.9536800000000003</c:v>
                </c:pt>
                <c:pt idx="6">
                  <c:v>6.3977499999999994</c:v>
                </c:pt>
                <c:pt idx="7">
                  <c:v>5.7341666666666669</c:v>
                </c:pt>
                <c:pt idx="8">
                  <c:v>4.2880000000000003</c:v>
                </c:pt>
                <c:pt idx="9">
                  <c:v>5.4269583333333342</c:v>
                </c:pt>
                <c:pt idx="10">
                  <c:v>5.0144583333333328</c:v>
                </c:pt>
                <c:pt idx="11">
                  <c:v>5.1451904761904759</c:v>
                </c:pt>
                <c:pt idx="12">
                  <c:v>3.6434166666666665</c:v>
                </c:pt>
                <c:pt idx="13">
                  <c:v>3.6912916666666669</c:v>
                </c:pt>
                <c:pt idx="14">
                  <c:v>3.9861083333333327</c:v>
                </c:pt>
                <c:pt idx="15">
                  <c:v>3.9140041666666665</c:v>
                </c:pt>
                <c:pt idx="16">
                  <c:v>4.0705249999999999</c:v>
                </c:pt>
                <c:pt idx="17">
                  <c:v>4.4611791666666676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DA0-4CBE-AA9E-DC12865BFF4E}"/>
            </c:ext>
          </c:extLst>
        </c:ser>
        <c:ser>
          <c:idx val="5"/>
          <c:order val="5"/>
          <c:tx>
            <c:strRef>
              <c:f>AnnualPVT!$G$4</c:f>
              <c:strCache>
                <c:ptCount val="1"/>
                <c:pt idx="0">
                  <c:v>Ave_ESoil</c:v>
                </c:pt>
              </c:strCache>
            </c:strRef>
          </c:tx>
          <c:spPr>
            <a:solidFill>
              <a:schemeClr val="accent4">
                <a:lumMod val="75000"/>
              </a:schemeClr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AnnualPVT!$A$5:$A$22</c:f>
              <c:strCache>
                <c:ptCount val="18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</c:strCache>
            </c:strRef>
          </c:cat>
          <c:val>
            <c:numRef>
              <c:f>AnnualPVT!$G$5:$G$22</c:f>
              <c:numCache>
                <c:formatCode>General</c:formatCode>
                <c:ptCount val="18"/>
                <c:pt idx="0">
                  <c:v>0.79879098695652184</c:v>
                </c:pt>
                <c:pt idx="1">
                  <c:v>1.0156801166666665</c:v>
                </c:pt>
                <c:pt idx="2">
                  <c:v>0.49139961041666663</c:v>
                </c:pt>
                <c:pt idx="3">
                  <c:v>0.90535240400000006</c:v>
                </c:pt>
                <c:pt idx="4">
                  <c:v>0.48166878800000007</c:v>
                </c:pt>
                <c:pt idx="5">
                  <c:v>0.60269669399999992</c:v>
                </c:pt>
                <c:pt idx="6">
                  <c:v>0.72323588333333344</c:v>
                </c:pt>
                <c:pt idx="7">
                  <c:v>0.66380407708333355</c:v>
                </c:pt>
                <c:pt idx="8">
                  <c:v>0.54212032500000007</c:v>
                </c:pt>
                <c:pt idx="9">
                  <c:v>0.70221405000000015</c:v>
                </c:pt>
                <c:pt idx="10">
                  <c:v>0.34306184583333327</c:v>
                </c:pt>
                <c:pt idx="11">
                  <c:v>0.47825370000000006</c:v>
                </c:pt>
                <c:pt idx="12">
                  <c:v>0.29388369999999991</c:v>
                </c:pt>
                <c:pt idx="13">
                  <c:v>0.19570983750000001</c:v>
                </c:pt>
                <c:pt idx="14">
                  <c:v>0.26266067916666669</c:v>
                </c:pt>
                <c:pt idx="15">
                  <c:v>0.24178913333333338</c:v>
                </c:pt>
                <c:pt idx="16">
                  <c:v>0.26122562500000002</c:v>
                </c:pt>
                <c:pt idx="17">
                  <c:v>0.30084386666666657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DA0-4CBE-AA9E-DC12865BFF4E}"/>
            </c:ext>
          </c:extLst>
        </c:ser>
        <c:ser>
          <c:idx val="6"/>
          <c:order val="6"/>
          <c:tx>
            <c:strRef>
              <c:f>AnnualPVT!$H$4</c:f>
              <c:strCache>
                <c:ptCount val="1"/>
                <c:pt idx="0">
                  <c:v>Ave_ECM</c:v>
                </c:pt>
              </c:strCache>
            </c:strRef>
          </c:tx>
          <c:spPr>
            <a:solidFill>
              <a:schemeClr val="bg1">
                <a:lumMod val="85000"/>
              </a:schemeClr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AnnualPVT!$A$5:$A$22</c:f>
              <c:strCache>
                <c:ptCount val="18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</c:strCache>
            </c:strRef>
          </c:cat>
          <c:val>
            <c:numRef>
              <c:f>AnnualPVT!$H$5:$H$22</c:f>
              <c:numCache>
                <c:formatCode>General</c:formatCode>
                <c:ptCount val="18"/>
                <c:pt idx="0">
                  <c:v>2.9930582608695651</c:v>
                </c:pt>
                <c:pt idx="1">
                  <c:v>2.8610525</c:v>
                </c:pt>
                <c:pt idx="2">
                  <c:v>2.8454599999999997</c:v>
                </c:pt>
                <c:pt idx="3">
                  <c:v>2.1932135999999995</c:v>
                </c:pt>
                <c:pt idx="4">
                  <c:v>3.5191103999999997</c:v>
                </c:pt>
                <c:pt idx="5">
                  <c:v>2.5463903999999999</c:v>
                </c:pt>
                <c:pt idx="6">
                  <c:v>2.5318882500000002</c:v>
                </c:pt>
                <c:pt idx="7">
                  <c:v>2.4303550000000005</c:v>
                </c:pt>
                <c:pt idx="8">
                  <c:v>2.3932424999999999</c:v>
                </c:pt>
                <c:pt idx="9">
                  <c:v>2.8733074999999997</c:v>
                </c:pt>
                <c:pt idx="10">
                  <c:v>2.3975650000000006</c:v>
                </c:pt>
                <c:pt idx="11">
                  <c:v>2.012425714285714</c:v>
                </c:pt>
                <c:pt idx="12">
                  <c:v>0.87889250000000008</c:v>
                </c:pt>
                <c:pt idx="13">
                  <c:v>1.4973324999999997</c:v>
                </c:pt>
                <c:pt idx="14">
                  <c:v>2.33624425</c:v>
                </c:pt>
                <c:pt idx="15">
                  <c:v>1.6936627499999999</c:v>
                </c:pt>
                <c:pt idx="16">
                  <c:v>2.1686072500000004</c:v>
                </c:pt>
                <c:pt idx="17">
                  <c:v>1.4542787000000004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DA0-4CBE-AA9E-DC12865BFF4E}"/>
            </c:ext>
          </c:extLst>
        </c:ser>
        <c:ser>
          <c:idx val="7"/>
          <c:order val="7"/>
          <c:tx>
            <c:strRef>
              <c:f>AnnualPVT!$I$4</c:f>
              <c:strCache>
                <c:ptCount val="1"/>
                <c:pt idx="0">
                  <c:v>Ave_Sea_Salt</c:v>
                </c:pt>
              </c:strCache>
            </c:strRef>
          </c:tx>
          <c:spPr>
            <a:solidFill>
              <a:schemeClr val="accent1">
                <a:lumMod val="40000"/>
                <a:lumOff val="60000"/>
              </a:schemeClr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AnnualPVT!$A$5:$A$22</c:f>
              <c:strCache>
                <c:ptCount val="18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</c:strCache>
            </c:strRef>
          </c:cat>
          <c:val>
            <c:numRef>
              <c:f>AnnualPVT!$I$5:$I$22</c:f>
              <c:numCache>
                <c:formatCode>General</c:formatCode>
                <c:ptCount val="18"/>
                <c:pt idx="0">
                  <c:v>0.50245830626086962</c:v>
                </c:pt>
                <c:pt idx="1">
                  <c:v>0.13518051075000004</c:v>
                </c:pt>
                <c:pt idx="2">
                  <c:v>4.1457645000000003E-3</c:v>
                </c:pt>
                <c:pt idx="3">
                  <c:v>0.35228150856000001</c:v>
                </c:pt>
                <c:pt idx="4">
                  <c:v>0.19692738935999998</c:v>
                </c:pt>
                <c:pt idx="5">
                  <c:v>0.29950006428000003</c:v>
                </c:pt>
                <c:pt idx="6">
                  <c:v>0.27892553437500001</c:v>
                </c:pt>
                <c:pt idx="7">
                  <c:v>0.23759317725000006</c:v>
                </c:pt>
                <c:pt idx="8">
                  <c:v>0.116173658625</c:v>
                </c:pt>
                <c:pt idx="9">
                  <c:v>1.4412179250000004E-2</c:v>
                </c:pt>
                <c:pt idx="10">
                  <c:v>0.30958907400000008</c:v>
                </c:pt>
                <c:pt idx="11">
                  <c:v>0.17348716628571431</c:v>
                </c:pt>
                <c:pt idx="12">
                  <c:v>0.19497679949999999</c:v>
                </c:pt>
                <c:pt idx="13">
                  <c:v>0.17305214175000003</c:v>
                </c:pt>
                <c:pt idx="14">
                  <c:v>0.14396826975000002</c:v>
                </c:pt>
                <c:pt idx="15">
                  <c:v>0.14372855700000001</c:v>
                </c:pt>
                <c:pt idx="16">
                  <c:v>9.9931835249999976E-2</c:v>
                </c:pt>
                <c:pt idx="17">
                  <c:v>0.20434933724999996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2DA0-4CBE-AA9E-DC12865BFF4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5"/>
        <c:overlap val="100"/>
        <c:axId val="838290880"/>
        <c:axId val="838291208"/>
      </c:barChart>
      <c:lineChart>
        <c:grouping val="standard"/>
        <c:varyColors val="0"/>
        <c:ser>
          <c:idx val="8"/>
          <c:order val="8"/>
          <c:tx>
            <c:strRef>
              <c:f>AnnualPVT!$J$4</c:f>
              <c:strCache>
                <c:ptCount val="1"/>
                <c:pt idx="0">
                  <c:v>Ave_DV</c:v>
                </c:pt>
              </c:strCache>
            </c:strRef>
          </c:tx>
          <c:spPr>
            <a:ln w="28575" cap="rnd">
              <a:solidFill>
                <a:schemeClr val="tx1">
                  <a:alpha val="60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AnnualPVT!$A$5:$A$22</c:f>
              <c:strCache>
                <c:ptCount val="18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</c:strCache>
            </c:strRef>
          </c:cat>
          <c:val>
            <c:numRef>
              <c:f>AnnualPVT!$J$5:$J$22</c:f>
              <c:numCache>
                <c:formatCode>General</c:formatCode>
                <c:ptCount val="18"/>
                <c:pt idx="0">
                  <c:v>28.356976367130436</c:v>
                </c:pt>
                <c:pt idx="1">
                  <c:v>28.914345951583343</c:v>
                </c:pt>
                <c:pt idx="2">
                  <c:v>27.608841673291661</c:v>
                </c:pt>
                <c:pt idx="3">
                  <c:v>27.445032128999991</c:v>
                </c:pt>
                <c:pt idx="4">
                  <c:v>30.323419726319997</c:v>
                </c:pt>
                <c:pt idx="5">
                  <c:v>28.212375915919996</c:v>
                </c:pt>
                <c:pt idx="6">
                  <c:v>27.493659258416667</c:v>
                </c:pt>
                <c:pt idx="7">
                  <c:v>24.013451054124999</c:v>
                </c:pt>
                <c:pt idx="8">
                  <c:v>22.074738576416667</c:v>
                </c:pt>
                <c:pt idx="9">
                  <c:v>23.119501876458333</c:v>
                </c:pt>
                <c:pt idx="10">
                  <c:v>23.024023411374998</c:v>
                </c:pt>
                <c:pt idx="11">
                  <c:v>20.027336373333338</c:v>
                </c:pt>
                <c:pt idx="12">
                  <c:v>18.593564727666671</c:v>
                </c:pt>
                <c:pt idx="13">
                  <c:v>19.142567560916667</c:v>
                </c:pt>
                <c:pt idx="14">
                  <c:v>18.452755341166668</c:v>
                </c:pt>
                <c:pt idx="15">
                  <c:v>17.280759653916668</c:v>
                </c:pt>
                <c:pt idx="16">
                  <c:v>17.263276348125</c:v>
                </c:pt>
                <c:pt idx="17">
                  <c:v>17.281164705375001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2DA0-4CBE-AA9E-DC12865BFF4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85018528"/>
        <c:axId val="683470928"/>
      </c:lineChart>
      <c:catAx>
        <c:axId val="8382908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38291208"/>
        <c:crosses val="autoZero"/>
        <c:auto val="1"/>
        <c:lblAlgn val="ctr"/>
        <c:lblOffset val="100"/>
        <c:noMultiLvlLbl val="0"/>
      </c:catAx>
      <c:valAx>
        <c:axId val="8382912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/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Inverse Megameters (Mm-1)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38290880"/>
        <c:crosses val="autoZero"/>
        <c:crossBetween val="between"/>
      </c:valAx>
      <c:valAx>
        <c:axId val="683470928"/>
        <c:scaling>
          <c:orientation val="minMax"/>
        </c:scaling>
        <c:delete val="0"/>
        <c:axPos val="r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Deciviews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85018528"/>
        <c:crosses val="max"/>
        <c:crossBetween val="between"/>
      </c:valAx>
      <c:catAx>
        <c:axId val="58501852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683470928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6.9532036906505088E-3"/>
          <c:y val="0.89575443244614095"/>
          <c:w val="0.98756039139735197"/>
          <c:h val="5.2123022579059812E-2"/>
        </c:manualLayout>
      </c:layout>
      <c:overlay val="0"/>
      <c:spPr>
        <a:solidFill>
          <a:sysClr val="window" lastClr="FFFFFF"/>
        </a:solidFill>
        <a:ln>
          <a:solidFill>
            <a:schemeClr val="tx1"/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  <c:extLst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E6FEDC250F5F2428BF4A7411AE0990D" ma:contentTypeVersion="12" ma:contentTypeDescription="Create a new document." ma:contentTypeScope="" ma:versionID="17171107cb5fb38fbe23bf8f718a7d4c">
  <xsd:schema xmlns:xsd="http://www.w3.org/2001/XMLSchema" xmlns:xs="http://www.w3.org/2001/XMLSchema" xmlns:p="http://schemas.microsoft.com/office/2006/metadata/properties" xmlns:ns1="http://schemas.microsoft.com/sharepoint/v3" xmlns:ns2="d1e67e66-4046-41c8-9996-4bf9b5e98c17" xmlns:ns3="b065acc1-83a5-44b7-871d-d523a152ca37" targetNamespace="http://schemas.microsoft.com/office/2006/metadata/properties" ma:root="true" ma:fieldsID="18339ffc77b4477e5b6248394572e227" ns1:_="" ns2:_="" ns3:_="">
    <xsd:import namespace="http://schemas.microsoft.com/sharepoint/v3"/>
    <xsd:import namespace="d1e67e66-4046-41c8-9996-4bf9b5e98c17"/>
    <xsd:import namespace="b065acc1-83a5-44b7-871d-d523a152ca3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8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9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1e67e66-4046-41c8-9996-4bf9b5e98c1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065acc1-83a5-44b7-871d-d523a152ca37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2B6A4C8B-8560-4A35-8DF5-10D90A34DFE2}"/>
</file>

<file path=customXml/itemProps2.xml><?xml version="1.0" encoding="utf-8"?>
<ds:datastoreItem xmlns:ds="http://schemas.openxmlformats.org/officeDocument/2006/customXml" ds:itemID="{1687A8CB-93AE-4A1D-95A6-3148919DF9E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3C56ED6-1931-4404-AB43-24CF21799611}">
  <ds:schemaRefs>
    <ds:schemaRef ds:uri="http://schemas.openxmlformats.org/package/2006/metadata/core-properties"/>
    <ds:schemaRef ds:uri="http://schemas.microsoft.com/office/2006/documentManagement/types"/>
    <ds:schemaRef ds:uri="d1e67e66-4046-41c8-9996-4bf9b5e98c17"/>
    <ds:schemaRef ds:uri="http://purl.org/dc/elements/1.1/"/>
    <ds:schemaRef ds:uri="http://schemas.microsoft.com/office/2006/metadata/properties"/>
    <ds:schemaRef ds:uri="http://schemas.microsoft.com/office/infopath/2007/PartnerControls"/>
    <ds:schemaRef ds:uri="http://purl.org/dc/terms/"/>
    <ds:schemaRef ds:uri="b065acc1-83a5-44b7-871d-d523a152ca37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30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Bartlett, Joshua W</dc:creator>
  <cp:keywords/>
  <dc:description/>
  <cp:lastModifiedBy>Bartlett, Joshua W</cp:lastModifiedBy>
  <cp:revision>1</cp:revision>
  <dcterms:created xsi:type="dcterms:W3CDTF">2020-09-28T17:17:00Z</dcterms:created>
  <dcterms:modified xsi:type="dcterms:W3CDTF">2020-09-28T17:25:00Z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0x010100AE6FEDC250F5F2428BF4A7411AE0990D</vt:lpwstr>
  </property>
</Properties>
</file>