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C3DD3" w14:textId="7E8A3676" w:rsidR="00B63CAF" w:rsidRPr="00C929F8" w:rsidRDefault="00C929F8" w:rsidP="00B63CAF">
      <w:pPr>
        <w:spacing w:after="160" w:line="259" w:lineRule="auto"/>
        <w:jc w:val="center"/>
        <w:rPr>
          <w:b/>
          <w:sz w:val="28"/>
          <w:szCs w:val="28"/>
        </w:rPr>
      </w:pPr>
      <w:r w:rsidRPr="00C929F8">
        <w:rPr>
          <w:b/>
          <w:sz w:val="28"/>
          <w:szCs w:val="28"/>
        </w:rPr>
        <w:t>Modeling Planning Assumptions for I&amp;M Reduction of Requirements 110(l) Noninterference Demonstration</w:t>
      </w:r>
      <w:r w:rsidR="00B63CAF">
        <w:rPr>
          <w:b/>
          <w:sz w:val="28"/>
          <w:szCs w:val="28"/>
        </w:rPr>
        <w:t xml:space="preserve"> (modeling commenced February 2023)</w:t>
      </w:r>
    </w:p>
    <w:p w14:paraId="2A30BEB5" w14:textId="77777777" w:rsidR="00C929F8" w:rsidRDefault="00C929F8" w:rsidP="000136E6">
      <w:pPr>
        <w:spacing w:after="160" w:line="259" w:lineRule="auto"/>
        <w:rPr>
          <w:b/>
          <w:sz w:val="24"/>
          <w:szCs w:val="24"/>
        </w:rPr>
      </w:pPr>
    </w:p>
    <w:p w14:paraId="02D92963" w14:textId="3613A1BE" w:rsidR="000136E6" w:rsidRPr="00074343" w:rsidRDefault="00BF17E7" w:rsidP="000136E6">
      <w:pPr>
        <w:spacing w:after="160" w:line="259" w:lineRule="auto"/>
        <w:rPr>
          <w:b/>
          <w:sz w:val="24"/>
          <w:szCs w:val="24"/>
        </w:rPr>
      </w:pPr>
      <w:r w:rsidRPr="002E55B5">
        <w:rPr>
          <w:b/>
          <w:sz w:val="24"/>
          <w:szCs w:val="24"/>
        </w:rPr>
        <w:t>2015 EIGHT-HOUR OZONE STANDARD PLANNING ASSUMPTIONS &amp; MODELING INPUTS</w:t>
      </w:r>
    </w:p>
    <w:p w14:paraId="7B4E2780" w14:textId="601570D6" w:rsidR="00BF17E7" w:rsidRPr="00C1458A" w:rsidRDefault="00BF17E7" w:rsidP="000136E6">
      <w:pPr>
        <w:spacing w:after="160" w:line="259" w:lineRule="auto"/>
        <w:rPr>
          <w:b/>
        </w:rPr>
      </w:pPr>
      <w:r w:rsidRPr="00C1458A">
        <w:rPr>
          <w:b/>
        </w:rPr>
        <w:t>General Methods and Assumptions</w:t>
      </w:r>
    </w:p>
    <w:p w14:paraId="004E5FA0" w14:textId="0B8D389D" w:rsidR="00BF17E7" w:rsidRPr="00C1458A" w:rsidRDefault="00BF17E7" w:rsidP="00BF17E7">
      <w:pPr>
        <w:pStyle w:val="ListParagraph"/>
        <w:numPr>
          <w:ilvl w:val="0"/>
          <w:numId w:val="2"/>
        </w:numPr>
      </w:pPr>
      <w:r w:rsidRPr="00C1458A">
        <w:t xml:space="preserve">Modeling Methodology:  </w:t>
      </w:r>
      <w:bookmarkStart w:id="0" w:name="_Hlk128473280"/>
      <w:r w:rsidR="00C929F8">
        <w:t>Run</w:t>
      </w:r>
      <w:r w:rsidRPr="00C1458A">
        <w:t xml:space="preserve"> the MOVES</w:t>
      </w:r>
      <w:r w:rsidR="00C929F8">
        <w:t xml:space="preserve"> version 3.1</w:t>
      </w:r>
      <w:r w:rsidRPr="00C1458A">
        <w:t xml:space="preserve"> model in inventory mode to determine the </w:t>
      </w:r>
      <w:bookmarkEnd w:id="0"/>
      <w:r w:rsidRPr="00C1458A">
        <w:t>total NO</w:t>
      </w:r>
      <w:r w:rsidRPr="00C1458A">
        <w:rPr>
          <w:vertAlign w:val="subscript"/>
        </w:rPr>
        <w:t>x</w:t>
      </w:r>
      <w:r w:rsidRPr="00C1458A">
        <w:t xml:space="preserve"> and VOC emissions in the </w:t>
      </w:r>
      <w:r w:rsidR="000663D2">
        <w:t>7</w:t>
      </w:r>
      <w:r w:rsidRPr="00C1458A">
        <w:t xml:space="preserve">-county </w:t>
      </w:r>
      <w:r>
        <w:t>maintenance</w:t>
      </w:r>
      <w:r w:rsidRPr="00C1458A">
        <w:t xml:space="preserve"> area.</w:t>
      </w:r>
    </w:p>
    <w:p w14:paraId="59B735FF" w14:textId="593C57C0" w:rsidR="00BF17E7" w:rsidRPr="00C1458A" w:rsidRDefault="00BF17E7" w:rsidP="00BF17E7">
      <w:pPr>
        <w:pStyle w:val="ListParagraph"/>
        <w:numPr>
          <w:ilvl w:val="0"/>
          <w:numId w:val="2"/>
        </w:numPr>
      </w:pPr>
      <w:r w:rsidRPr="00C1458A">
        <w:t xml:space="preserve">Analysis Years: </w:t>
      </w:r>
      <w:r w:rsidR="00D8088E">
        <w:t>2018, 2</w:t>
      </w:r>
      <w:r w:rsidR="007D4843">
        <w:t xml:space="preserve">020, </w:t>
      </w:r>
      <w:r w:rsidR="00F63734">
        <w:t xml:space="preserve">2025, </w:t>
      </w:r>
      <w:r w:rsidR="007D4843">
        <w:t xml:space="preserve">2030, </w:t>
      </w:r>
      <w:r w:rsidRPr="00C1458A">
        <w:t>20</w:t>
      </w:r>
      <w:r>
        <w:t>33</w:t>
      </w:r>
      <w:r w:rsidRPr="00C1458A">
        <w:t>,</w:t>
      </w:r>
      <w:r w:rsidR="00C929F8">
        <w:t xml:space="preserve"> 2035</w:t>
      </w:r>
      <w:r w:rsidR="00F63734">
        <w:t>,</w:t>
      </w:r>
      <w:r w:rsidRPr="00C1458A">
        <w:t xml:space="preserve"> </w:t>
      </w:r>
      <w:r w:rsidR="007D4843">
        <w:t xml:space="preserve">2040, </w:t>
      </w:r>
      <w:r w:rsidR="00C929F8">
        <w:t>204</w:t>
      </w:r>
      <w:r w:rsidR="00F63734">
        <w:t>5</w:t>
      </w:r>
      <w:r w:rsidR="00C929F8">
        <w:t xml:space="preserve">, </w:t>
      </w:r>
      <w:r w:rsidRPr="002B3024">
        <w:t>2050</w:t>
      </w:r>
    </w:p>
    <w:p w14:paraId="649F4C4E" w14:textId="6A90B773" w:rsidR="00BF17E7" w:rsidRDefault="00D8088E" w:rsidP="00BF17E7">
      <w:pPr>
        <w:pStyle w:val="ListParagraph"/>
        <w:numPr>
          <w:ilvl w:val="0"/>
          <w:numId w:val="2"/>
        </w:numPr>
      </w:pPr>
      <w:bookmarkStart w:id="1" w:name="_Hlk128473394"/>
      <w:r>
        <w:t xml:space="preserve">Determining Impact of I&amp;M Reduction in Requirements on </w:t>
      </w:r>
      <w:r w:rsidR="00BF17E7">
        <w:t>Conformity Test</w:t>
      </w:r>
    </w:p>
    <w:p w14:paraId="4E3F3E4D" w14:textId="69FE8102" w:rsidR="00BF17E7" w:rsidRPr="00B4447B" w:rsidRDefault="00BF17E7" w:rsidP="00BF17E7">
      <w:pPr>
        <w:pStyle w:val="ListParagraph"/>
        <w:numPr>
          <w:ilvl w:val="1"/>
          <w:numId w:val="2"/>
        </w:numPr>
      </w:pPr>
      <w:r w:rsidRPr="00B4447B">
        <w:t>Motor Vehicle Emission Budget (MVEB) Test</w:t>
      </w:r>
      <w:r w:rsidRPr="00B4447B">
        <w:rPr>
          <w:rStyle w:val="FootnoteReference"/>
        </w:rPr>
        <w:footnoteReference w:id="1"/>
      </w:r>
      <w:r w:rsidR="00D8088E">
        <w:t xml:space="preserve"> before and after I&amp;M Reduction</w:t>
      </w:r>
    </w:p>
    <w:bookmarkEnd w:id="1"/>
    <w:p w14:paraId="6B45F460" w14:textId="185920CD" w:rsidR="00BF17E7" w:rsidRPr="00B4447B" w:rsidRDefault="00BF17E7" w:rsidP="00BF17E7">
      <w:pPr>
        <w:pStyle w:val="ListParagraph"/>
        <w:numPr>
          <w:ilvl w:val="2"/>
          <w:numId w:val="2"/>
        </w:numPr>
      </w:pPr>
      <w:r w:rsidRPr="00B4447B">
        <w:t>For years prior to 203</w:t>
      </w:r>
      <w:r w:rsidR="00950CEA">
        <w:t>3</w:t>
      </w:r>
      <w:r>
        <w:t>, 201</w:t>
      </w:r>
      <w:r w:rsidR="00950CEA">
        <w:t>8</w:t>
      </w:r>
      <w:r>
        <w:t xml:space="preserve"> MVEBs are used:</w:t>
      </w:r>
    </w:p>
    <w:p w14:paraId="75BCEFFF" w14:textId="49F2BC1C" w:rsidR="00BF17E7" w:rsidRPr="00B4447B" w:rsidRDefault="00BF17E7" w:rsidP="00BF17E7">
      <w:pPr>
        <w:pStyle w:val="ListParagraph"/>
        <w:numPr>
          <w:ilvl w:val="3"/>
          <w:numId w:val="2"/>
        </w:numPr>
      </w:pPr>
      <w:r w:rsidRPr="00B4447B">
        <w:t xml:space="preserve">NOx: </w:t>
      </w:r>
      <w:r w:rsidR="00950CEA">
        <w:t>99.99</w:t>
      </w:r>
      <w:r w:rsidRPr="00B4447B">
        <w:t xml:space="preserve"> </w:t>
      </w:r>
      <w:proofErr w:type="spellStart"/>
      <w:r w:rsidRPr="00B4447B">
        <w:t>tpd</w:t>
      </w:r>
      <w:proofErr w:type="spellEnd"/>
    </w:p>
    <w:p w14:paraId="6C5003D8" w14:textId="48E26A75" w:rsidR="00BF17E7" w:rsidRPr="00B4447B" w:rsidRDefault="00BF17E7" w:rsidP="00BF17E7">
      <w:pPr>
        <w:pStyle w:val="ListParagraph"/>
        <w:numPr>
          <w:ilvl w:val="3"/>
          <w:numId w:val="2"/>
        </w:numPr>
      </w:pPr>
      <w:r w:rsidRPr="00B4447B">
        <w:t xml:space="preserve">VOC: </w:t>
      </w:r>
      <w:r w:rsidR="00950CEA">
        <w:t>54</w:t>
      </w:r>
      <w:r w:rsidRPr="00B4447B">
        <w:t>.</w:t>
      </w:r>
      <w:r w:rsidR="00950CEA">
        <w:t>00</w:t>
      </w:r>
      <w:r w:rsidRPr="00B4447B">
        <w:t xml:space="preserve"> </w:t>
      </w:r>
      <w:proofErr w:type="spellStart"/>
      <w:r w:rsidRPr="00B4447B">
        <w:t>tpd</w:t>
      </w:r>
      <w:proofErr w:type="spellEnd"/>
    </w:p>
    <w:p w14:paraId="54B05933" w14:textId="6798E97B" w:rsidR="00BF17E7" w:rsidRPr="00B4447B" w:rsidRDefault="00BF17E7" w:rsidP="00BF17E7">
      <w:pPr>
        <w:pStyle w:val="ListParagraph"/>
        <w:numPr>
          <w:ilvl w:val="2"/>
          <w:numId w:val="2"/>
        </w:numPr>
      </w:pPr>
      <w:r w:rsidRPr="00B4447B">
        <w:t>For years 203</w:t>
      </w:r>
      <w:r w:rsidR="00445EE9">
        <w:t>3</w:t>
      </w:r>
      <w:r w:rsidRPr="00B4447B">
        <w:t xml:space="preserve"> and later</w:t>
      </w:r>
      <w:r>
        <w:t>, 203</w:t>
      </w:r>
      <w:r w:rsidR="00445EE9">
        <w:t>3</w:t>
      </w:r>
      <w:r>
        <w:t xml:space="preserve"> MVEBs are used:</w:t>
      </w:r>
    </w:p>
    <w:p w14:paraId="0C5ACA61" w14:textId="4967609A" w:rsidR="00BF17E7" w:rsidRPr="00B4447B" w:rsidRDefault="00BF17E7" w:rsidP="00BF17E7">
      <w:pPr>
        <w:pStyle w:val="ListParagraph"/>
        <w:numPr>
          <w:ilvl w:val="3"/>
          <w:numId w:val="2"/>
        </w:numPr>
      </w:pPr>
      <w:r w:rsidRPr="00B4447B">
        <w:t>NOx: 5</w:t>
      </w:r>
      <w:r w:rsidR="00445EE9">
        <w:t>4.00</w:t>
      </w:r>
      <w:r w:rsidRPr="00B4447B">
        <w:t xml:space="preserve"> </w:t>
      </w:r>
      <w:proofErr w:type="spellStart"/>
      <w:r w:rsidRPr="00B4447B">
        <w:t>tpd</w:t>
      </w:r>
      <w:proofErr w:type="spellEnd"/>
    </w:p>
    <w:p w14:paraId="12129E58" w14:textId="17ABD7D5" w:rsidR="00BF17E7" w:rsidRPr="00B4447B" w:rsidRDefault="00BF17E7" w:rsidP="00BF17E7">
      <w:pPr>
        <w:pStyle w:val="ListParagraph"/>
        <w:numPr>
          <w:ilvl w:val="3"/>
          <w:numId w:val="2"/>
        </w:numPr>
      </w:pPr>
      <w:r w:rsidRPr="00B4447B">
        <w:t xml:space="preserve">VOC: </w:t>
      </w:r>
      <w:r w:rsidR="00445EE9">
        <w:t>35.00</w:t>
      </w:r>
      <w:r w:rsidRPr="00B4447B">
        <w:t xml:space="preserve"> </w:t>
      </w:r>
      <w:proofErr w:type="spellStart"/>
      <w:r w:rsidRPr="00B4447B">
        <w:t>tpd</w:t>
      </w:r>
      <w:proofErr w:type="spellEnd"/>
    </w:p>
    <w:p w14:paraId="275D29B4" w14:textId="0DD32501" w:rsidR="00D8088E" w:rsidRDefault="00D8088E" w:rsidP="00BF17E7">
      <w:pPr>
        <w:pStyle w:val="ListParagraph"/>
        <w:numPr>
          <w:ilvl w:val="0"/>
          <w:numId w:val="2"/>
        </w:numPr>
      </w:pPr>
      <w:bookmarkStart w:id="2" w:name="_Hlk128473704"/>
      <w:r>
        <w:t>Comparison with 2018 maintenance plan emissions inventory both before and after I&amp;M reduction.</w:t>
      </w:r>
    </w:p>
    <w:p w14:paraId="783F49F0" w14:textId="32EA5672" w:rsidR="00D8088E" w:rsidRDefault="00D8088E" w:rsidP="00BF17E7">
      <w:pPr>
        <w:pStyle w:val="ListParagraph"/>
        <w:numPr>
          <w:ilvl w:val="0"/>
          <w:numId w:val="2"/>
        </w:numPr>
      </w:pPr>
      <w:r>
        <w:t>Incremental impact of I&amp;M reduction (difference in tons per day and % increase)</w:t>
      </w:r>
    </w:p>
    <w:p w14:paraId="6F5144CC" w14:textId="38F54C55" w:rsidR="00BF17E7" w:rsidRDefault="00BF17E7" w:rsidP="00BF17E7">
      <w:pPr>
        <w:pStyle w:val="ListParagraph"/>
        <w:numPr>
          <w:ilvl w:val="0"/>
          <w:numId w:val="2"/>
        </w:numPr>
      </w:pPr>
      <w:r w:rsidRPr="00C1458A">
        <w:t xml:space="preserve">Modeling Start Date: </w:t>
      </w:r>
      <w:r w:rsidR="00D8088E">
        <w:t>February</w:t>
      </w:r>
      <w:r>
        <w:t xml:space="preserve"> 202</w:t>
      </w:r>
      <w:r w:rsidR="00D8088E">
        <w:t>3</w:t>
      </w:r>
      <w:r w:rsidRPr="00C1458A">
        <w:t>.</w:t>
      </w:r>
      <w:r>
        <w:t xml:space="preserve"> This start date is defined by </w:t>
      </w:r>
      <w:r w:rsidR="00D8088E">
        <w:t>Georgia EPD</w:t>
      </w:r>
      <w:r>
        <w:t xml:space="preserve"> as the initiation of the first model run for </w:t>
      </w:r>
      <w:r w:rsidR="00D8088E">
        <w:t xml:space="preserve">this </w:t>
      </w:r>
      <w:proofErr w:type="gramStart"/>
      <w:r w:rsidR="00D8088E">
        <w:t>110(l) noninterference</w:t>
      </w:r>
      <w:proofErr w:type="gramEnd"/>
      <w:r w:rsidR="00D8088E">
        <w:t xml:space="preserve"> demonstration</w:t>
      </w:r>
      <w:r>
        <w:t>.</w:t>
      </w:r>
    </w:p>
    <w:bookmarkEnd w:id="2"/>
    <w:p w14:paraId="1BC9341B" w14:textId="77777777" w:rsidR="00BF17E7" w:rsidRPr="003B6E06" w:rsidRDefault="00BF17E7" w:rsidP="00BF17E7">
      <w:pPr>
        <w:rPr>
          <w:b/>
        </w:rPr>
      </w:pPr>
      <w:r w:rsidRPr="003B6E06">
        <w:rPr>
          <w:b/>
        </w:rPr>
        <w:t>Travel Demand Modeling Assumptions</w:t>
      </w:r>
    </w:p>
    <w:p w14:paraId="10E0BC2A" w14:textId="77777777" w:rsidR="00BF17E7" w:rsidRPr="003B6E06" w:rsidRDefault="00BF17E7" w:rsidP="00BF17E7">
      <w:pPr>
        <w:pStyle w:val="ListParagraph"/>
        <w:numPr>
          <w:ilvl w:val="0"/>
          <w:numId w:val="3"/>
        </w:numPr>
        <w:rPr>
          <w:color w:val="000000" w:themeColor="text1"/>
        </w:rPr>
      </w:pPr>
      <w:r w:rsidRPr="003B6E06">
        <w:t xml:space="preserve">Calibration Year: </w:t>
      </w:r>
      <w:r>
        <w:rPr>
          <w:color w:val="000000" w:themeColor="text1"/>
        </w:rPr>
        <w:t>2015</w:t>
      </w:r>
    </w:p>
    <w:p w14:paraId="189F4E42" w14:textId="77777777" w:rsidR="00BF17E7" w:rsidRPr="003B6E06" w:rsidRDefault="00BF17E7" w:rsidP="00BF17E7">
      <w:pPr>
        <w:pStyle w:val="ListParagraph"/>
        <w:numPr>
          <w:ilvl w:val="1"/>
          <w:numId w:val="3"/>
        </w:numPr>
        <w:rPr>
          <w:color w:val="FF0000"/>
        </w:rPr>
      </w:pPr>
      <w:r w:rsidRPr="003B6E06">
        <w:t xml:space="preserve">Model </w:t>
      </w:r>
      <w:r>
        <w:t>calibrated/</w:t>
      </w:r>
      <w:r w:rsidRPr="003B6E06">
        <w:t xml:space="preserve">validated to the year 2015 using </w:t>
      </w:r>
      <w:r>
        <w:t xml:space="preserve">updated data and </w:t>
      </w:r>
      <w:r w:rsidRPr="003B6E06">
        <w:t xml:space="preserve">a comparison between estimated volumes and observed counts. See Appendix A for validation/calibration information.  </w:t>
      </w:r>
    </w:p>
    <w:p w14:paraId="3289F9E4" w14:textId="77777777" w:rsidR="00BF17E7" w:rsidRPr="003B6E06" w:rsidRDefault="00BF17E7" w:rsidP="00BF17E7">
      <w:pPr>
        <w:pStyle w:val="ListParagraph"/>
        <w:numPr>
          <w:ilvl w:val="0"/>
          <w:numId w:val="3"/>
        </w:numPr>
      </w:pPr>
      <w:r w:rsidRPr="003B6E06">
        <w:t xml:space="preserve">Social/Economic Data: See Appendix B. </w:t>
      </w:r>
    </w:p>
    <w:p w14:paraId="12A50D5A" w14:textId="2450AA02" w:rsidR="00E914B3" w:rsidRPr="002F4F4C" w:rsidRDefault="00BF17E7" w:rsidP="00BF17E7">
      <w:pPr>
        <w:pStyle w:val="ListParagraph"/>
        <w:numPr>
          <w:ilvl w:val="0"/>
          <w:numId w:val="3"/>
        </w:numPr>
        <w:rPr>
          <w:color w:val="FF0000"/>
        </w:rPr>
      </w:pPr>
      <w:r w:rsidRPr="003B6E06">
        <w:t xml:space="preserve">ARC’s Activity-Based Travel </w:t>
      </w:r>
      <w:r>
        <w:t xml:space="preserve">Demand </w:t>
      </w:r>
      <w:r w:rsidRPr="003B6E06">
        <w:t xml:space="preserve">Model (ABM) is the basis for these runs. See Appendix C for an overview of ABM specifications.  </w:t>
      </w:r>
    </w:p>
    <w:p w14:paraId="47A34ACD" w14:textId="04BE468C" w:rsidR="00BF17E7" w:rsidRDefault="00BF17E7" w:rsidP="00BF17E7">
      <w:pPr>
        <w:rPr>
          <w:b/>
        </w:rPr>
      </w:pPr>
      <w:r w:rsidRPr="00296F06">
        <w:rPr>
          <w:b/>
        </w:rPr>
        <w:t>Emissions Modeling Assumptions</w:t>
      </w:r>
    </w:p>
    <w:p w14:paraId="5E798099" w14:textId="49E8078A" w:rsidR="00BF17E7" w:rsidRPr="00BA0D47" w:rsidRDefault="00BF17E7" w:rsidP="00BF17E7">
      <w:pPr>
        <w:pStyle w:val="ListParagraph"/>
        <w:numPr>
          <w:ilvl w:val="0"/>
          <w:numId w:val="1"/>
        </w:numPr>
        <w:rPr>
          <w:color w:val="FF0000"/>
        </w:rPr>
      </w:pPr>
      <w:r w:rsidRPr="00C1458A">
        <w:t>Emissions Model: MOVES</w:t>
      </w:r>
      <w:r>
        <w:t>3</w:t>
      </w:r>
      <w:r w:rsidRPr="00C1458A">
        <w:t xml:space="preserve"> – Database: </w:t>
      </w:r>
      <w:r w:rsidRPr="007D4843">
        <w:t>movesdb202</w:t>
      </w:r>
      <w:r w:rsidR="00F63734">
        <w:t>2</w:t>
      </w:r>
      <w:r w:rsidR="007D4843">
        <w:t>1</w:t>
      </w:r>
      <w:r w:rsidR="00F63734">
        <w:t>0</w:t>
      </w:r>
      <w:r w:rsidR="007D4843">
        <w:t>0</w:t>
      </w:r>
      <w:r w:rsidR="00F63734">
        <w:t>7 (MOVES version 3.1)</w:t>
      </w:r>
    </w:p>
    <w:p w14:paraId="76475D86" w14:textId="77777777" w:rsidR="00BF17E7" w:rsidRPr="00A479B0" w:rsidRDefault="00BF17E7" w:rsidP="00BF17E7">
      <w:pPr>
        <w:pStyle w:val="ListParagraph"/>
        <w:numPr>
          <w:ilvl w:val="1"/>
          <w:numId w:val="1"/>
        </w:numPr>
      </w:pPr>
      <w:r w:rsidRPr="00A479B0">
        <w:t xml:space="preserve">Emissions Process – use MOVES in inventory mode for a July </w:t>
      </w:r>
      <w:proofErr w:type="gramStart"/>
      <w:r w:rsidRPr="00A479B0">
        <w:t>weekday</w:t>
      </w:r>
      <w:proofErr w:type="gramEnd"/>
    </w:p>
    <w:p w14:paraId="2ADBC5C2" w14:textId="744C5040" w:rsidR="00BF17E7" w:rsidRPr="00A479B0" w:rsidRDefault="00BF17E7" w:rsidP="00F63734">
      <w:pPr>
        <w:pStyle w:val="ListParagraph"/>
        <w:numPr>
          <w:ilvl w:val="2"/>
          <w:numId w:val="1"/>
        </w:numPr>
      </w:pPr>
      <w:bookmarkStart w:id="3" w:name="_Hlk128473857"/>
      <w:r w:rsidRPr="00A479B0">
        <w:t xml:space="preserve">For the years </w:t>
      </w:r>
      <w:r w:rsidR="00AC6096">
        <w:t xml:space="preserve">2020, </w:t>
      </w:r>
      <w:r w:rsidRPr="003910A1">
        <w:t>203</w:t>
      </w:r>
      <w:r w:rsidR="00AC6096">
        <w:t>0</w:t>
      </w:r>
      <w:r w:rsidRPr="003910A1">
        <w:t xml:space="preserve">, </w:t>
      </w:r>
      <w:r w:rsidR="00AC6096">
        <w:t xml:space="preserve">2040, </w:t>
      </w:r>
      <w:r w:rsidRPr="003910A1">
        <w:t xml:space="preserve">and 2050 modeled </w:t>
      </w:r>
      <w:r w:rsidRPr="00A479B0">
        <w:t>travel data is used to calculate emissions</w:t>
      </w:r>
      <w:r w:rsidR="00AC6096">
        <w:t>.  For the year</w:t>
      </w:r>
      <w:r w:rsidR="00F63734">
        <w:t>s</w:t>
      </w:r>
      <w:r w:rsidR="00AC6096">
        <w:t xml:space="preserve"> 2033</w:t>
      </w:r>
      <w:r w:rsidR="00F63734">
        <w:t xml:space="preserve"> and 2035, </w:t>
      </w:r>
      <w:r w:rsidR="00AC6096">
        <w:t xml:space="preserve">emissions were </w:t>
      </w:r>
      <w:r w:rsidR="00AC6096">
        <w:lastRenderedPageBreak/>
        <w:t>interp</w:t>
      </w:r>
      <w:r w:rsidR="00E35ADC">
        <w:t>olated</w:t>
      </w:r>
      <w:r w:rsidR="00AC6096">
        <w:t xml:space="preserve"> </w:t>
      </w:r>
      <w:r w:rsidR="006F742D">
        <w:t>between</w:t>
      </w:r>
      <w:r w:rsidR="00AC6096">
        <w:t xml:space="preserve"> 2030 and 2040</w:t>
      </w:r>
      <w:r w:rsidR="00E92C3B">
        <w:t xml:space="preserve"> </w:t>
      </w:r>
      <w:r w:rsidR="006F742D">
        <w:t>emissions</w:t>
      </w:r>
      <w:r w:rsidR="00E92C3B">
        <w:t>.</w:t>
      </w:r>
      <w:r w:rsidR="00F63734" w:rsidRPr="00F63734">
        <w:t xml:space="preserve"> </w:t>
      </w:r>
      <w:r w:rsidR="00F63734">
        <w:t xml:space="preserve">For the years 2025 and 2045, emissions were interpolated between 2020 and 2030 and 2040 and 2050, respectively. 2018 emissions came from the 2015 ozone NAAQS maintenance plan, no change needed as MOVES3 based. For 2020, there was also a mock run where 2020 was assumed with the reduced I&amp;M program </w:t>
      </w:r>
      <w:proofErr w:type="gramStart"/>
      <w:r w:rsidR="00F63734">
        <w:t>in order to</w:t>
      </w:r>
      <w:proofErr w:type="gramEnd"/>
      <w:r w:rsidR="00F63734">
        <w:t xml:space="preserve"> provide an interpolated 2025 emissions value for a reduced I&amp;M program (based on 2020 and 2030 reduced I&amp;M scenarios).</w:t>
      </w:r>
    </w:p>
    <w:bookmarkEnd w:id="3"/>
    <w:p w14:paraId="4C3E627E" w14:textId="77777777" w:rsidR="00BF17E7" w:rsidRPr="00A479B0" w:rsidRDefault="00BF17E7" w:rsidP="00BF17E7">
      <w:pPr>
        <w:pStyle w:val="ListParagraph"/>
        <w:numPr>
          <w:ilvl w:val="1"/>
          <w:numId w:val="1"/>
        </w:numPr>
      </w:pPr>
      <w:r w:rsidRPr="00A479B0">
        <w:t xml:space="preserve">Run separately for the </w:t>
      </w:r>
      <w:r>
        <w:t>6-</w:t>
      </w:r>
      <w:r w:rsidRPr="00A479B0">
        <w:t xml:space="preserve">county and </w:t>
      </w:r>
      <w:r>
        <w:t>1</w:t>
      </w:r>
      <w:r w:rsidRPr="00A479B0">
        <w:t>-county portions of the nonattainment area</w:t>
      </w:r>
      <w:r w:rsidRPr="00A479B0">
        <w:rPr>
          <w:rStyle w:val="FootnoteReference"/>
        </w:rPr>
        <w:footnoteReference w:id="2"/>
      </w:r>
    </w:p>
    <w:p w14:paraId="10554C66" w14:textId="77777777" w:rsidR="00BF17E7" w:rsidRPr="00A479B0" w:rsidRDefault="00BF17E7" w:rsidP="00BF17E7">
      <w:pPr>
        <w:pStyle w:val="ListParagraph"/>
        <w:numPr>
          <w:ilvl w:val="2"/>
          <w:numId w:val="1"/>
        </w:numPr>
      </w:pPr>
      <w:r>
        <w:t>6</w:t>
      </w:r>
      <w:r w:rsidRPr="00A479B0">
        <w:t>-county area activity, vehicle population and other inputs are assigned to Fulton County while running MOVES</w:t>
      </w:r>
    </w:p>
    <w:p w14:paraId="3360A99D" w14:textId="77777777" w:rsidR="00BF17E7" w:rsidRPr="00A479B0" w:rsidRDefault="00BF17E7" w:rsidP="00BF17E7">
      <w:pPr>
        <w:pStyle w:val="ListParagraph"/>
        <w:numPr>
          <w:ilvl w:val="2"/>
          <w:numId w:val="1"/>
        </w:numPr>
      </w:pPr>
      <w:r>
        <w:t>1</w:t>
      </w:r>
      <w:r w:rsidRPr="00A479B0">
        <w:t>-county area activity, vehicle population and other inputs are assigned to Bartow County while running MOVES</w:t>
      </w:r>
    </w:p>
    <w:p w14:paraId="1E57CD98" w14:textId="77777777" w:rsidR="00BF17E7" w:rsidRDefault="00BF17E7" w:rsidP="00BF17E7">
      <w:pPr>
        <w:pStyle w:val="ListParagraph"/>
        <w:numPr>
          <w:ilvl w:val="0"/>
          <w:numId w:val="1"/>
        </w:numPr>
      </w:pPr>
      <w:r>
        <w:t>MOVES Inputs</w:t>
      </w:r>
    </w:p>
    <w:p w14:paraId="297706BA" w14:textId="4ABBC30E" w:rsidR="00BF17E7" w:rsidRDefault="00BF17E7" w:rsidP="00BF17E7">
      <w:pPr>
        <w:pStyle w:val="ListParagraph"/>
        <w:numPr>
          <w:ilvl w:val="1"/>
          <w:numId w:val="1"/>
        </w:numPr>
      </w:pPr>
      <w:r>
        <w:t xml:space="preserve">Road Type Distribution – Processed from the travel demand model, GDOT HPMS counts and MOVES defaults.  Summarizes VMT fraction by road type and source type for the </w:t>
      </w:r>
      <w:r w:rsidR="000663D2">
        <w:t xml:space="preserve">6 </w:t>
      </w:r>
      <w:r>
        <w:t xml:space="preserve">and </w:t>
      </w:r>
      <w:r w:rsidR="000663D2">
        <w:t>1</w:t>
      </w:r>
      <w:r>
        <w:t xml:space="preserve"> counties separately.</w:t>
      </w:r>
    </w:p>
    <w:p w14:paraId="5649E47C" w14:textId="77777777" w:rsidR="00BF17E7" w:rsidRPr="00CE7D9E" w:rsidRDefault="00BF17E7" w:rsidP="00BF17E7">
      <w:pPr>
        <w:pStyle w:val="ListParagraph"/>
        <w:numPr>
          <w:ilvl w:val="1"/>
          <w:numId w:val="1"/>
        </w:numPr>
      </w:pPr>
      <w:r w:rsidRPr="00CE7D9E">
        <w:t>Source Type Population</w:t>
      </w:r>
    </w:p>
    <w:p w14:paraId="6BCF5DDC" w14:textId="77777777" w:rsidR="00BF17E7" w:rsidRPr="00A479B0" w:rsidRDefault="00BF17E7" w:rsidP="00BF17E7">
      <w:pPr>
        <w:pStyle w:val="ListParagraph"/>
        <w:numPr>
          <w:ilvl w:val="2"/>
          <w:numId w:val="1"/>
        </w:numPr>
      </w:pPr>
      <w:r w:rsidRPr="00A479B0">
        <w:t>Started with 20</w:t>
      </w:r>
      <w:r>
        <w:t>20</w:t>
      </w:r>
      <w:r w:rsidRPr="00A479B0">
        <w:t xml:space="preserve"> R.L. Polk &amp; Co. registration data for the Atlanta nonattainment </w:t>
      </w:r>
      <w:proofErr w:type="gramStart"/>
      <w:r w:rsidRPr="00A479B0">
        <w:t>counties</w:t>
      </w:r>
      <w:proofErr w:type="gramEnd"/>
    </w:p>
    <w:p w14:paraId="0D50A195" w14:textId="77777777" w:rsidR="00BF17E7" w:rsidRPr="00A479B0" w:rsidRDefault="00BF17E7" w:rsidP="00BF17E7">
      <w:pPr>
        <w:pStyle w:val="ListParagraph"/>
        <w:numPr>
          <w:ilvl w:val="2"/>
          <w:numId w:val="1"/>
        </w:numPr>
      </w:pPr>
      <w:r w:rsidRPr="00A479B0">
        <w:t>Future analysis year data is grown from 20</w:t>
      </w:r>
      <w:r>
        <w:t>20</w:t>
      </w:r>
      <w:r w:rsidRPr="00A479B0">
        <w:t xml:space="preserve"> based on the ratio of MPO population </w:t>
      </w:r>
      <w:proofErr w:type="gramStart"/>
      <w:r w:rsidRPr="00A479B0">
        <w:t>estimates</w:t>
      </w:r>
      <w:proofErr w:type="gramEnd"/>
    </w:p>
    <w:p w14:paraId="695390E4" w14:textId="77777777" w:rsidR="00BF17E7" w:rsidRPr="00A479B0" w:rsidRDefault="00BF17E7" w:rsidP="00BF17E7">
      <w:pPr>
        <w:pStyle w:val="ListParagraph"/>
        <w:numPr>
          <w:ilvl w:val="2"/>
          <w:numId w:val="1"/>
        </w:numPr>
      </w:pPr>
      <w:r w:rsidRPr="00A479B0">
        <w:t xml:space="preserve">Since the population of vehicle type 62 (combination long-haul trucks) can easily be underrepresented in areas with lots of through traffic, the vehicle population for MOVES source type 62 was revised using MOVES default VMT/VPOP ratios and VMT for HPMS type 60 </w:t>
      </w:r>
      <w:proofErr w:type="gramStart"/>
      <w:r w:rsidRPr="00A479B0">
        <w:t>data</w:t>
      </w:r>
      <w:proofErr w:type="gramEnd"/>
    </w:p>
    <w:p w14:paraId="45EA6AC5" w14:textId="77777777" w:rsidR="00BF17E7" w:rsidRDefault="00BF17E7" w:rsidP="00BF17E7">
      <w:pPr>
        <w:pStyle w:val="ListParagraph"/>
        <w:numPr>
          <w:ilvl w:val="1"/>
          <w:numId w:val="1"/>
        </w:numPr>
      </w:pPr>
      <w:r>
        <w:t>Vehicle Type VMT</w:t>
      </w:r>
    </w:p>
    <w:p w14:paraId="4D0EEFA4" w14:textId="77777777" w:rsidR="00BF17E7" w:rsidRDefault="00BF17E7" w:rsidP="00BF17E7">
      <w:pPr>
        <w:pStyle w:val="ListParagraph"/>
        <w:numPr>
          <w:ilvl w:val="2"/>
          <w:numId w:val="1"/>
        </w:numPr>
      </w:pPr>
      <w:r>
        <w:t xml:space="preserve">HPMS </w:t>
      </w:r>
      <w:proofErr w:type="spellStart"/>
      <w:r>
        <w:t>VTypeYear</w:t>
      </w:r>
      <w:proofErr w:type="spellEnd"/>
      <w:r>
        <w:t xml:space="preserve"> - Processed from the travel demand model, GDOT HPMS Counts, and an EPA daily to annual VMT converter.  Assigns total annual VMT by HPMS vehicle type.  </w:t>
      </w:r>
    </w:p>
    <w:p w14:paraId="510C4BE1" w14:textId="77777777" w:rsidR="00BF17E7" w:rsidRDefault="00BF17E7" w:rsidP="00BF17E7">
      <w:pPr>
        <w:pStyle w:val="ListParagraph"/>
        <w:numPr>
          <w:ilvl w:val="2"/>
          <w:numId w:val="1"/>
        </w:numPr>
      </w:pPr>
      <w:r>
        <w:t xml:space="preserve">Month VMT Fraction: MOVES </w:t>
      </w:r>
      <w:proofErr w:type="gramStart"/>
      <w:r>
        <w:t>defaults</w:t>
      </w:r>
      <w:proofErr w:type="gramEnd"/>
    </w:p>
    <w:p w14:paraId="5FC7E6C1" w14:textId="77777777" w:rsidR="00BF17E7" w:rsidRDefault="00BF17E7" w:rsidP="00BF17E7">
      <w:pPr>
        <w:pStyle w:val="ListParagraph"/>
        <w:numPr>
          <w:ilvl w:val="2"/>
          <w:numId w:val="1"/>
        </w:numPr>
      </w:pPr>
      <w:r>
        <w:t xml:space="preserve">Day VMT Fraction: MOVES </w:t>
      </w:r>
      <w:proofErr w:type="gramStart"/>
      <w:r>
        <w:t>defaults</w:t>
      </w:r>
      <w:proofErr w:type="gramEnd"/>
    </w:p>
    <w:p w14:paraId="12EC6929" w14:textId="77777777" w:rsidR="00BF17E7" w:rsidRDefault="00BF17E7" w:rsidP="00BF17E7">
      <w:pPr>
        <w:pStyle w:val="ListParagraph"/>
        <w:numPr>
          <w:ilvl w:val="2"/>
          <w:numId w:val="1"/>
        </w:numPr>
      </w:pPr>
      <w:r>
        <w:t>Hour VMT Fraction:  Derived from the travel demand model by source and road type.  The fractions are determined separately for the 6 and 1 county areas.</w:t>
      </w:r>
    </w:p>
    <w:p w14:paraId="128B04B7" w14:textId="37310774" w:rsidR="00BF17E7" w:rsidRDefault="00BF17E7" w:rsidP="00BF17E7">
      <w:pPr>
        <w:pStyle w:val="ListParagraph"/>
        <w:numPr>
          <w:ilvl w:val="1"/>
          <w:numId w:val="1"/>
        </w:numPr>
      </w:pPr>
      <w:r>
        <w:t>I</w:t>
      </w:r>
      <w:r w:rsidR="00F63734">
        <w:t>&amp;</w:t>
      </w:r>
      <w:r>
        <w:t xml:space="preserve">M Programs – Applied to the 6-county area </w:t>
      </w:r>
      <w:r w:rsidRPr="001C26C8">
        <w:t>only</w:t>
      </w:r>
      <w:r w:rsidR="00F63734">
        <w:t xml:space="preserve"> </w:t>
      </w:r>
      <w:bookmarkStart w:id="4" w:name="_Hlk128474428"/>
      <w:r w:rsidR="00F63734">
        <w:t>and runs will be conducted for the current I&amp;M program and reduced I&amp;M program which excludes the gas cap pressure check test</w:t>
      </w:r>
      <w:r w:rsidRPr="001C26C8">
        <w:t xml:space="preserve"> </w:t>
      </w:r>
      <w:bookmarkEnd w:id="4"/>
      <w:r w:rsidRPr="001C26C8">
        <w:t>(See Appendix D)</w:t>
      </w:r>
    </w:p>
    <w:p w14:paraId="7A40AA82" w14:textId="77777777" w:rsidR="00BF17E7" w:rsidRDefault="00BF17E7" w:rsidP="00BF17E7">
      <w:pPr>
        <w:pStyle w:val="ListParagraph"/>
        <w:numPr>
          <w:ilvl w:val="1"/>
          <w:numId w:val="1"/>
        </w:numPr>
      </w:pPr>
      <w:r>
        <w:t xml:space="preserve">Age Distribution – </w:t>
      </w:r>
      <w:r w:rsidRPr="00A479B0">
        <w:t>Age data was derived from 20</w:t>
      </w:r>
      <w:r>
        <w:t>20</w:t>
      </w:r>
      <w:r w:rsidRPr="00A479B0">
        <w:t xml:space="preserve"> R.L. Polk &amp; Co. registration data for the </w:t>
      </w:r>
      <w:r>
        <w:t>6</w:t>
      </w:r>
      <w:r w:rsidRPr="00A479B0">
        <w:t xml:space="preserve"> and </w:t>
      </w:r>
      <w:r>
        <w:t>1</w:t>
      </w:r>
      <w:r w:rsidRPr="00A479B0">
        <w:t xml:space="preserve"> counties separately for all vehicle types, except HDV8b (Source type 62) where MOVES defaults were </w:t>
      </w:r>
      <w:proofErr w:type="gramStart"/>
      <w:r w:rsidRPr="00A479B0">
        <w:t>used</w:t>
      </w:r>
      <w:proofErr w:type="gramEnd"/>
    </w:p>
    <w:p w14:paraId="1DDA28C0" w14:textId="77777777" w:rsidR="00BF17E7" w:rsidRDefault="00BF17E7" w:rsidP="00BF17E7">
      <w:pPr>
        <w:pStyle w:val="ListParagraph"/>
        <w:numPr>
          <w:ilvl w:val="1"/>
          <w:numId w:val="1"/>
        </w:numPr>
      </w:pPr>
      <w:r>
        <w:t>Average Speed Distribution – Processed from the travel demand model with HPMS VMT adjustment factors applied.  Calculates VHT by hour by speed bin by source.  The distribution is determined separately for the 6 and 1 county areas.</w:t>
      </w:r>
    </w:p>
    <w:p w14:paraId="555A1A67" w14:textId="6BDA6E6D" w:rsidR="00BF17E7" w:rsidRPr="00A479B0" w:rsidRDefault="00BF17E7" w:rsidP="00BF17E7">
      <w:pPr>
        <w:pStyle w:val="ListParagraph"/>
        <w:numPr>
          <w:ilvl w:val="1"/>
          <w:numId w:val="1"/>
        </w:numPr>
      </w:pPr>
      <w:r w:rsidRPr="00A479B0">
        <w:t xml:space="preserve">Fuel – </w:t>
      </w:r>
      <w:r>
        <w:t>Local fuel use now matches between the 6- and 1-county areas due to the relaxation of the RVP summer fuel requirement in the 6-county area.</w:t>
      </w:r>
      <w:r w:rsidR="006F742D">
        <w:t xml:space="preserve"> MOVES3 was updated to correctly characterize Atlanta area fuels, so MOVES defaults were used.</w:t>
      </w:r>
    </w:p>
    <w:p w14:paraId="13EA51E1" w14:textId="52085627" w:rsidR="00BF17E7" w:rsidRDefault="00BF17E7" w:rsidP="00BF17E7">
      <w:pPr>
        <w:pStyle w:val="ListParagraph"/>
        <w:numPr>
          <w:ilvl w:val="1"/>
          <w:numId w:val="1"/>
        </w:numPr>
      </w:pPr>
      <w:r>
        <w:t xml:space="preserve">Meteorology – </w:t>
      </w:r>
      <w:r w:rsidRPr="00A479B0">
        <w:t>July 201</w:t>
      </w:r>
      <w:r w:rsidR="006F742D">
        <w:t>8</w:t>
      </w:r>
      <w:r w:rsidRPr="00A479B0">
        <w:t xml:space="preserve"> weather for Hartsfield-Jackson Atlanta International Airport was used for this analysis</w:t>
      </w:r>
      <w:r>
        <w:t xml:space="preserve"> consistent with the 2015 Eight Hour Ozone Maintenance SIP</w:t>
      </w:r>
    </w:p>
    <w:p w14:paraId="1F53E807" w14:textId="5702B524" w:rsidR="00BF17E7" w:rsidRPr="00CE7D9E" w:rsidRDefault="00BF17E7" w:rsidP="006F742D">
      <w:pPr>
        <w:pStyle w:val="ListParagraph"/>
        <w:numPr>
          <w:ilvl w:val="1"/>
          <w:numId w:val="1"/>
        </w:numPr>
      </w:pPr>
      <w:r w:rsidRPr="00CE7D9E">
        <w:t>Starts –</w:t>
      </w:r>
      <w:r>
        <w:t xml:space="preserve"> The regional </w:t>
      </w:r>
      <w:r w:rsidRPr="00A479B0">
        <w:t xml:space="preserve">travel </w:t>
      </w:r>
      <w:r>
        <w:t>demand model</w:t>
      </w:r>
      <w:r w:rsidRPr="00CE7D9E">
        <w:t xml:space="preserve"> </w:t>
      </w:r>
      <w:r>
        <w:t>d</w:t>
      </w:r>
      <w:r w:rsidRPr="00CE7D9E">
        <w:t xml:space="preserve">etermines the number of </w:t>
      </w:r>
      <w:proofErr w:type="gramStart"/>
      <w:r w:rsidRPr="00CE7D9E">
        <w:t>trip</w:t>
      </w:r>
      <w:proofErr w:type="gramEnd"/>
      <w:r w:rsidRPr="00CE7D9E">
        <w:t xml:space="preserve"> starts in each of the </w:t>
      </w:r>
      <w:r>
        <w:t>6</w:t>
      </w:r>
      <w:r w:rsidRPr="00CE7D9E">
        <w:t xml:space="preserve"> and </w:t>
      </w:r>
      <w:r>
        <w:t>1</w:t>
      </w:r>
      <w:r w:rsidRPr="00CE7D9E">
        <w:t xml:space="preserve"> county areas. Applies only to the trips per day input. </w:t>
      </w:r>
      <w:r w:rsidR="006F742D">
        <w:t xml:space="preserve">Trips per day for MOVES3 requires the activity be split by vehicle type for each of the 6 and 1 county areas. This split is accomplished by multiplying total trips per day from the regional travel demand model times the fraction of trips by each vehicle type. This fraction is calculated from vehicle population and MOVES default starts per day per vehicle. </w:t>
      </w:r>
      <w:r w:rsidRPr="00CE7D9E">
        <w:t>Defaults used for the rest of the start inputs.</w:t>
      </w:r>
    </w:p>
    <w:p w14:paraId="70F90C5D" w14:textId="57CA8161" w:rsidR="00BF17E7" w:rsidRDefault="00BF17E7" w:rsidP="00BF17E7">
      <w:pPr>
        <w:pStyle w:val="ListParagraph"/>
        <w:numPr>
          <w:ilvl w:val="1"/>
          <w:numId w:val="1"/>
        </w:numPr>
      </w:pPr>
      <w:r w:rsidRPr="00093C8E">
        <w:t>Idle</w:t>
      </w:r>
      <w:r w:rsidRPr="00CE7D9E">
        <w:t xml:space="preserve"> – MOVES </w:t>
      </w:r>
      <w:proofErr w:type="gramStart"/>
      <w:r w:rsidRPr="00DC5760">
        <w:t>defaults</w:t>
      </w:r>
      <w:proofErr w:type="gramEnd"/>
    </w:p>
    <w:p w14:paraId="0ED25942" w14:textId="56CF06C8" w:rsidR="00F323D4" w:rsidRPr="00DC5760" w:rsidRDefault="00F323D4" w:rsidP="00BF17E7">
      <w:pPr>
        <w:pStyle w:val="ListParagraph"/>
        <w:numPr>
          <w:ilvl w:val="1"/>
          <w:numId w:val="1"/>
        </w:numPr>
      </w:pPr>
      <w:r>
        <w:t xml:space="preserve">Hotelling – MOVES </w:t>
      </w:r>
      <w:proofErr w:type="gramStart"/>
      <w:r>
        <w:t>default</w:t>
      </w:r>
      <w:r w:rsidR="00220CAB">
        <w:t>s</w:t>
      </w:r>
      <w:proofErr w:type="gramEnd"/>
    </w:p>
    <w:p w14:paraId="1D5C31FD" w14:textId="77777777" w:rsidR="00BF17E7" w:rsidRPr="00DC5760" w:rsidRDefault="00BF17E7" w:rsidP="00BF17E7">
      <w:pPr>
        <w:pStyle w:val="ListParagraph"/>
        <w:numPr>
          <w:ilvl w:val="0"/>
          <w:numId w:val="1"/>
        </w:numPr>
      </w:pPr>
      <w:r w:rsidRPr="00DC5760">
        <w:t>VMT HPMS Adjustment Factors</w:t>
      </w:r>
    </w:p>
    <w:p w14:paraId="74F68775" w14:textId="77777777" w:rsidR="00BF17E7" w:rsidRPr="00706167" w:rsidRDefault="00BF17E7" w:rsidP="00BF17E7">
      <w:pPr>
        <w:pStyle w:val="ListParagraph"/>
        <w:numPr>
          <w:ilvl w:val="1"/>
          <w:numId w:val="4"/>
        </w:numPr>
        <w:spacing w:after="0" w:line="240" w:lineRule="auto"/>
      </w:pPr>
      <w:r>
        <w:t xml:space="preserve">Calculated for the year 2019 (See </w:t>
      </w:r>
      <w:r w:rsidRPr="00706167">
        <w:t>Appendix E)</w:t>
      </w:r>
    </w:p>
    <w:p w14:paraId="30B77776" w14:textId="77777777" w:rsidR="00BF17E7" w:rsidRPr="005537E4" w:rsidRDefault="00BF17E7" w:rsidP="00BF17E7">
      <w:pPr>
        <w:pStyle w:val="ListParagraph"/>
        <w:numPr>
          <w:ilvl w:val="1"/>
          <w:numId w:val="4"/>
        </w:numPr>
        <w:spacing w:after="0" w:line="240" w:lineRule="auto"/>
      </w:pPr>
      <w:r w:rsidRPr="005537E4">
        <w:t xml:space="preserve">HPMS adjustment in base year of calibration in accordance with Section 93.122(b)(3) of the Transportation Conformity Rule which recommends that HPMS adjustment factors be developed to reconcile travel model estimates of VMT in base year of validation to HPMS estimates for the same </w:t>
      </w:r>
      <w:proofErr w:type="gramStart"/>
      <w:r w:rsidRPr="005537E4">
        <w:t>period</w:t>
      </w:r>
      <w:proofErr w:type="gramEnd"/>
    </w:p>
    <w:p w14:paraId="096EA956" w14:textId="77777777" w:rsidR="00BF17E7" w:rsidRPr="005537E4" w:rsidRDefault="00BF17E7" w:rsidP="00BF17E7">
      <w:pPr>
        <w:numPr>
          <w:ilvl w:val="1"/>
          <w:numId w:val="4"/>
        </w:numPr>
        <w:spacing w:after="0" w:line="240" w:lineRule="auto"/>
        <w:rPr>
          <w:rFonts w:ascii="Times New Roman" w:hAnsi="Times New Roman"/>
          <w:b/>
        </w:rPr>
      </w:pPr>
      <w:r w:rsidRPr="005537E4">
        <w:t>Summer (seasonal) adjustment to convert from average annual VMT to summer-season VMT</w:t>
      </w:r>
      <w:r w:rsidRPr="005537E4">
        <w:rPr>
          <w:rStyle w:val="FootnoteReference"/>
        </w:rPr>
        <w:footnoteReference w:id="3"/>
      </w:r>
    </w:p>
    <w:p w14:paraId="7562F5F2" w14:textId="77777777" w:rsidR="00BF17E7" w:rsidRDefault="00BF17E7" w:rsidP="00BF17E7">
      <w:pPr>
        <w:numPr>
          <w:ilvl w:val="1"/>
          <w:numId w:val="4"/>
        </w:numPr>
        <w:spacing w:after="0" w:line="240" w:lineRule="auto"/>
        <w:rPr>
          <w:rFonts w:ascii="Times New Roman" w:hAnsi="Times New Roman"/>
          <w:b/>
        </w:rPr>
      </w:pPr>
      <w:r w:rsidRPr="005537E4">
        <w:t xml:space="preserve">Factors applied to VMT estimates generated by ARC travel demand model for </w:t>
      </w:r>
      <w:r>
        <w:t>6</w:t>
      </w:r>
      <w:r w:rsidRPr="005537E4">
        <w:t xml:space="preserve">-county portion and </w:t>
      </w:r>
      <w:r>
        <w:t>1</w:t>
      </w:r>
      <w:r w:rsidRPr="005537E4">
        <w:t>-county portion of 2</w:t>
      </w:r>
      <w:r>
        <w:t>1</w:t>
      </w:r>
      <w:r w:rsidRPr="005537E4">
        <w:t xml:space="preserve">-county modeling domain, </w:t>
      </w:r>
      <w:proofErr w:type="gramStart"/>
      <w:r w:rsidRPr="005537E4">
        <w:t>separately</w:t>
      </w:r>
      <w:proofErr w:type="gramEnd"/>
    </w:p>
    <w:p w14:paraId="70823D79" w14:textId="77777777" w:rsidR="00BF17E7" w:rsidRPr="007432EC" w:rsidRDefault="00BF17E7" w:rsidP="00BF17E7">
      <w:pPr>
        <w:numPr>
          <w:ilvl w:val="1"/>
          <w:numId w:val="4"/>
        </w:numPr>
        <w:spacing w:after="0" w:line="240" w:lineRule="auto"/>
        <w:rPr>
          <w:rFonts w:ascii="Times New Roman" w:hAnsi="Times New Roman"/>
          <w:b/>
        </w:rPr>
      </w:pPr>
      <w:r>
        <w:t xml:space="preserve">Factors aggregated up to MOVES road types from base HPMS functional </w:t>
      </w:r>
      <w:proofErr w:type="gramStart"/>
      <w:r>
        <w:t>classifications</w:t>
      </w:r>
      <w:proofErr w:type="gramEnd"/>
    </w:p>
    <w:p w14:paraId="4F7D2ED6" w14:textId="77777777" w:rsidR="00BF17E7" w:rsidRDefault="00BF17E7" w:rsidP="00BF17E7">
      <w:pPr>
        <w:pStyle w:val="ListParagraph"/>
        <w:numPr>
          <w:ilvl w:val="0"/>
          <w:numId w:val="1"/>
        </w:numPr>
      </w:pPr>
      <w:bookmarkStart w:id="5" w:name="_Hlk128474669"/>
      <w:bookmarkStart w:id="6" w:name="_Hlk128474511"/>
      <w:r>
        <w:t>Off-Model Calculations</w:t>
      </w:r>
    </w:p>
    <w:p w14:paraId="107AA688" w14:textId="77777777" w:rsidR="00BF17E7" w:rsidRDefault="00BF17E7" w:rsidP="00BF17E7">
      <w:pPr>
        <w:pStyle w:val="ListParagraph"/>
        <w:numPr>
          <w:ilvl w:val="1"/>
          <w:numId w:val="1"/>
        </w:numPr>
      </w:pPr>
      <w:r>
        <w:t>Senior I/M Exemption (emissions debit)</w:t>
      </w:r>
    </w:p>
    <w:p w14:paraId="4C535A44" w14:textId="0C6664B7" w:rsidR="00BF17E7" w:rsidRDefault="00BF17E7" w:rsidP="00BF17E7">
      <w:pPr>
        <w:pStyle w:val="ListParagraph"/>
        <w:numPr>
          <w:ilvl w:val="2"/>
          <w:numId w:val="1"/>
        </w:numPr>
      </w:pPr>
      <w:r>
        <w:t xml:space="preserve">The Senior I/M Exemption calculated for year 2002 is conservatively high and will be added to the regional emission inventories for each analysis </w:t>
      </w:r>
      <w:proofErr w:type="gramStart"/>
      <w:r>
        <w:t>year</w:t>
      </w:r>
      <w:proofErr w:type="gramEnd"/>
    </w:p>
    <w:p w14:paraId="4F3283FE" w14:textId="6116A08D" w:rsidR="00F63734" w:rsidRDefault="00F63734" w:rsidP="00BF17E7">
      <w:pPr>
        <w:pStyle w:val="ListParagraph"/>
        <w:numPr>
          <w:ilvl w:val="2"/>
          <w:numId w:val="1"/>
        </w:numPr>
      </w:pPr>
      <w:r>
        <w:t>This exemption assumption will be unchanged for reduced I&amp;M scenario.</w:t>
      </w:r>
    </w:p>
    <w:bookmarkEnd w:id="5"/>
    <w:p w14:paraId="34BAB8A6" w14:textId="77777777" w:rsidR="00BF17E7" w:rsidRDefault="00BF17E7" w:rsidP="00BF17E7">
      <w:pPr>
        <w:pStyle w:val="ListParagraph"/>
        <w:numPr>
          <w:ilvl w:val="0"/>
          <w:numId w:val="1"/>
        </w:numPr>
      </w:pPr>
      <w:r>
        <w:t>TCMs</w:t>
      </w:r>
    </w:p>
    <w:p w14:paraId="7A4A78E4" w14:textId="77777777" w:rsidR="00BF17E7" w:rsidRDefault="00BF17E7" w:rsidP="00BF17E7">
      <w:pPr>
        <w:pStyle w:val="ListParagraph"/>
        <w:numPr>
          <w:ilvl w:val="1"/>
          <w:numId w:val="1"/>
        </w:numPr>
      </w:pPr>
      <w:r>
        <w:t>No additional credit is taken in the emissions modeling process for SIP TCMs</w:t>
      </w:r>
    </w:p>
    <w:p w14:paraId="6C36D83E" w14:textId="45948CC3" w:rsidR="002F4F4C" w:rsidRDefault="00BF17E7" w:rsidP="007D4843">
      <w:pPr>
        <w:pStyle w:val="ListParagraph"/>
        <w:numPr>
          <w:ilvl w:val="1"/>
          <w:numId w:val="1"/>
        </w:numPr>
      </w:pPr>
      <w:r>
        <w:t xml:space="preserve">A full list of implemented TCMs is attached as </w:t>
      </w:r>
      <w:r w:rsidRPr="00093C8E">
        <w:t>Appendix F</w:t>
      </w:r>
      <w:bookmarkStart w:id="7" w:name="_Hlk115097153"/>
      <w:r w:rsidR="00F63734">
        <w:t xml:space="preserve"> (only one remaining)</w:t>
      </w:r>
    </w:p>
    <w:bookmarkEnd w:id="6"/>
    <w:p w14:paraId="0021D0CD" w14:textId="77777777" w:rsidR="002F4F4C" w:rsidRPr="002F4F4C" w:rsidRDefault="002F4F4C" w:rsidP="002F4F4C">
      <w:pPr>
        <w:pStyle w:val="ListParagraph"/>
        <w:ind w:left="1440"/>
      </w:pPr>
    </w:p>
    <w:p w14:paraId="51AD8B55" w14:textId="6C53F6FA" w:rsidR="007D4843" w:rsidRPr="00074343" w:rsidRDefault="007D4843" w:rsidP="007D4843">
      <w:pPr>
        <w:rPr>
          <w:b/>
          <w:sz w:val="24"/>
          <w:szCs w:val="24"/>
        </w:rPr>
      </w:pPr>
      <w:r w:rsidRPr="00074343">
        <w:rPr>
          <w:b/>
          <w:sz w:val="24"/>
          <w:szCs w:val="24"/>
        </w:rPr>
        <w:t>2008 EIGHT-HOUR OZONE STANDARD PLANNING ASSUMPTIONS &amp; MODELING INPUTS</w:t>
      </w:r>
    </w:p>
    <w:bookmarkEnd w:id="7"/>
    <w:p w14:paraId="09C7283B" w14:textId="77777777" w:rsidR="007D4843" w:rsidRPr="00C1458A" w:rsidRDefault="007D4843" w:rsidP="007D4843">
      <w:pPr>
        <w:rPr>
          <w:b/>
        </w:rPr>
      </w:pPr>
      <w:r w:rsidRPr="00C1458A">
        <w:rPr>
          <w:b/>
        </w:rPr>
        <w:t>General Methods and Assumptions</w:t>
      </w:r>
    </w:p>
    <w:p w14:paraId="385F0593" w14:textId="18BD4BCA" w:rsidR="007D4843" w:rsidRPr="00C1458A" w:rsidRDefault="007D4843" w:rsidP="0096300C">
      <w:pPr>
        <w:pStyle w:val="ListParagraph"/>
        <w:numPr>
          <w:ilvl w:val="0"/>
          <w:numId w:val="13"/>
        </w:numPr>
      </w:pPr>
      <w:r w:rsidRPr="00C1458A">
        <w:t xml:space="preserve">Modeling Methodology:  </w:t>
      </w:r>
      <w:r w:rsidR="00F63734" w:rsidRPr="00F63734">
        <w:t xml:space="preserve">Run the MOVES version 3.1 model in inventory mode to determine </w:t>
      </w:r>
      <w:r w:rsidRPr="00C1458A">
        <w:t>the total NO</w:t>
      </w:r>
      <w:r w:rsidRPr="00C1458A">
        <w:rPr>
          <w:vertAlign w:val="subscript"/>
        </w:rPr>
        <w:t>x</w:t>
      </w:r>
      <w:r w:rsidRPr="00C1458A">
        <w:t xml:space="preserve"> and VOC emissions in the </w:t>
      </w:r>
      <w:r>
        <w:t>15</w:t>
      </w:r>
      <w:r w:rsidRPr="00C1458A">
        <w:t xml:space="preserve">-county </w:t>
      </w:r>
      <w:r>
        <w:t>maintenance</w:t>
      </w:r>
      <w:r w:rsidRPr="00C1458A">
        <w:t xml:space="preserve"> area.</w:t>
      </w:r>
    </w:p>
    <w:p w14:paraId="7C60D47D" w14:textId="77777777" w:rsidR="00F63734" w:rsidRDefault="007D4843" w:rsidP="00F63734">
      <w:pPr>
        <w:pStyle w:val="ListParagraph"/>
        <w:numPr>
          <w:ilvl w:val="0"/>
          <w:numId w:val="13"/>
        </w:numPr>
      </w:pPr>
      <w:r w:rsidRPr="00C1458A">
        <w:t xml:space="preserve">Analysis Years: </w:t>
      </w:r>
      <w:r w:rsidR="00F63734">
        <w:t xml:space="preserve">2014, </w:t>
      </w:r>
      <w:r>
        <w:t xml:space="preserve">2020, </w:t>
      </w:r>
      <w:r w:rsidR="00F63734">
        <w:t xml:space="preserve">2025, </w:t>
      </w:r>
      <w:r w:rsidRPr="00C1458A">
        <w:t>20</w:t>
      </w:r>
      <w:r>
        <w:t>30</w:t>
      </w:r>
      <w:r w:rsidRPr="00C1458A">
        <w:t xml:space="preserve">, </w:t>
      </w:r>
      <w:r w:rsidR="00F63734">
        <w:t xml:space="preserve">2035, </w:t>
      </w:r>
      <w:r w:rsidRPr="00C1458A">
        <w:t>20</w:t>
      </w:r>
      <w:r>
        <w:t>40</w:t>
      </w:r>
      <w:r w:rsidRPr="002B3024">
        <w:t xml:space="preserve">, </w:t>
      </w:r>
      <w:r w:rsidR="00F63734">
        <w:t xml:space="preserve">2045, </w:t>
      </w:r>
      <w:r w:rsidRPr="002B3024">
        <w:t>2050</w:t>
      </w:r>
    </w:p>
    <w:p w14:paraId="62FD87F8" w14:textId="68400DDD" w:rsidR="00F63734" w:rsidRDefault="00F63734" w:rsidP="00F63734">
      <w:pPr>
        <w:pStyle w:val="ListParagraph"/>
        <w:numPr>
          <w:ilvl w:val="0"/>
          <w:numId w:val="13"/>
        </w:numPr>
      </w:pPr>
      <w:r>
        <w:t>Determining Impact of I&amp;M Reduction in Requirements on Conformity Test</w:t>
      </w:r>
    </w:p>
    <w:p w14:paraId="6DC9DE0E" w14:textId="1B16C29B" w:rsidR="007D4843" w:rsidRPr="00B4447B" w:rsidRDefault="00F63734" w:rsidP="00F63734">
      <w:pPr>
        <w:pStyle w:val="ListParagraph"/>
        <w:numPr>
          <w:ilvl w:val="1"/>
          <w:numId w:val="13"/>
        </w:numPr>
      </w:pPr>
      <w:r>
        <w:t>Motor Vehicle Emission Budget (MVEB) Test</w:t>
      </w:r>
      <w:r w:rsidRPr="00F63734">
        <w:rPr>
          <w:vertAlign w:val="superscript"/>
        </w:rPr>
        <w:footnoteReference w:id="4"/>
      </w:r>
      <w:r>
        <w:t xml:space="preserve"> before and after I&amp;M Reduction</w:t>
      </w:r>
    </w:p>
    <w:p w14:paraId="7458BE3D" w14:textId="0B74CDCD" w:rsidR="007D4843" w:rsidRPr="00B4447B" w:rsidRDefault="007D4843" w:rsidP="0096300C">
      <w:pPr>
        <w:pStyle w:val="ListParagraph"/>
        <w:numPr>
          <w:ilvl w:val="2"/>
          <w:numId w:val="13"/>
        </w:numPr>
      </w:pPr>
      <w:r w:rsidRPr="00B4447B">
        <w:t>For years prior to 2030</w:t>
      </w:r>
      <w:r>
        <w:t xml:space="preserve">, </w:t>
      </w:r>
      <w:r w:rsidR="00220CAB">
        <w:t>2014</w:t>
      </w:r>
      <w:r>
        <w:t xml:space="preserve"> MVEBs are used</w:t>
      </w:r>
      <w:r w:rsidR="00F63734">
        <w:t xml:space="preserve"> and modified for MOVES3</w:t>
      </w:r>
      <w:r>
        <w:t>:</w:t>
      </w:r>
    </w:p>
    <w:p w14:paraId="0B870D72" w14:textId="6759DF92" w:rsidR="007D4843" w:rsidRPr="00B4447B" w:rsidRDefault="007D4843" w:rsidP="0096300C">
      <w:pPr>
        <w:pStyle w:val="ListParagraph"/>
        <w:numPr>
          <w:ilvl w:val="3"/>
          <w:numId w:val="13"/>
        </w:numPr>
      </w:pPr>
      <w:r w:rsidRPr="00B4447B">
        <w:t>NOx: 1</w:t>
      </w:r>
      <w:r w:rsidR="00391F77">
        <w:t>84</w:t>
      </w:r>
      <w:r w:rsidRPr="00B4447B">
        <w:t>.1</w:t>
      </w:r>
      <w:r w:rsidR="00391F77">
        <w:t>7</w:t>
      </w:r>
      <w:r w:rsidRPr="00B4447B">
        <w:t xml:space="preserve"> </w:t>
      </w:r>
      <w:proofErr w:type="spellStart"/>
      <w:r w:rsidRPr="00B4447B">
        <w:t>tpd</w:t>
      </w:r>
      <w:proofErr w:type="spellEnd"/>
    </w:p>
    <w:p w14:paraId="571B7573" w14:textId="1EF85892" w:rsidR="007D4843" w:rsidRPr="00B4447B" w:rsidRDefault="007D4843" w:rsidP="0096300C">
      <w:pPr>
        <w:pStyle w:val="ListParagraph"/>
        <w:numPr>
          <w:ilvl w:val="3"/>
          <w:numId w:val="13"/>
        </w:numPr>
      </w:pPr>
      <w:r w:rsidRPr="00B4447B">
        <w:t>VOC: 8</w:t>
      </w:r>
      <w:r w:rsidR="00391F77">
        <w:t>8.95</w:t>
      </w:r>
      <w:r w:rsidRPr="00B4447B">
        <w:t xml:space="preserve"> </w:t>
      </w:r>
      <w:proofErr w:type="spellStart"/>
      <w:r w:rsidRPr="00B4447B">
        <w:t>tpd</w:t>
      </w:r>
      <w:proofErr w:type="spellEnd"/>
    </w:p>
    <w:p w14:paraId="5375AEF8" w14:textId="77079949" w:rsidR="007D4843" w:rsidRPr="00B4447B" w:rsidRDefault="007D4843" w:rsidP="0096300C">
      <w:pPr>
        <w:pStyle w:val="ListParagraph"/>
        <w:numPr>
          <w:ilvl w:val="2"/>
          <w:numId w:val="13"/>
        </w:numPr>
      </w:pPr>
      <w:r w:rsidRPr="00B4447B">
        <w:t>For years 2030 and later</w:t>
      </w:r>
      <w:r>
        <w:t>, 2030 MVEBs are used</w:t>
      </w:r>
      <w:r w:rsidR="00F63734">
        <w:t xml:space="preserve"> and unchanged with MOVES3</w:t>
      </w:r>
      <w:r>
        <w:t>:</w:t>
      </w:r>
    </w:p>
    <w:p w14:paraId="64C6330A" w14:textId="77777777" w:rsidR="007D4843" w:rsidRPr="00B4447B" w:rsidRDefault="007D4843" w:rsidP="0096300C">
      <w:pPr>
        <w:pStyle w:val="ListParagraph"/>
        <w:numPr>
          <w:ilvl w:val="3"/>
          <w:numId w:val="13"/>
        </w:numPr>
      </w:pPr>
      <w:r w:rsidRPr="00B4447B">
        <w:t xml:space="preserve">NOx: 58 </w:t>
      </w:r>
      <w:proofErr w:type="spellStart"/>
      <w:r w:rsidRPr="00B4447B">
        <w:t>tpd</w:t>
      </w:r>
      <w:proofErr w:type="spellEnd"/>
    </w:p>
    <w:p w14:paraId="22A0E365" w14:textId="77777777" w:rsidR="007D4843" w:rsidRPr="00B4447B" w:rsidRDefault="007D4843" w:rsidP="0096300C">
      <w:pPr>
        <w:pStyle w:val="ListParagraph"/>
        <w:numPr>
          <w:ilvl w:val="3"/>
          <w:numId w:val="13"/>
        </w:numPr>
      </w:pPr>
      <w:r w:rsidRPr="00B4447B">
        <w:t xml:space="preserve">VOC: 52 </w:t>
      </w:r>
      <w:proofErr w:type="spellStart"/>
      <w:r w:rsidRPr="00B4447B">
        <w:t>tpd</w:t>
      </w:r>
      <w:proofErr w:type="spellEnd"/>
    </w:p>
    <w:p w14:paraId="60CB8E4E" w14:textId="77777777" w:rsidR="00391F77" w:rsidRDefault="00391F77" w:rsidP="00391F77">
      <w:pPr>
        <w:pStyle w:val="ListParagraph"/>
        <w:numPr>
          <w:ilvl w:val="0"/>
          <w:numId w:val="13"/>
        </w:numPr>
      </w:pPr>
      <w:r>
        <w:t>Comparison with 2018 maintenance plan emissions inventory both before and after I&amp;M reduction.</w:t>
      </w:r>
    </w:p>
    <w:p w14:paraId="7C1F232B" w14:textId="77777777" w:rsidR="00391F77" w:rsidRDefault="00391F77" w:rsidP="00391F77">
      <w:pPr>
        <w:pStyle w:val="ListParagraph"/>
        <w:numPr>
          <w:ilvl w:val="0"/>
          <w:numId w:val="13"/>
        </w:numPr>
      </w:pPr>
      <w:r>
        <w:t>Incremental impact of I&amp;M reduction (difference in tons per day and % increase)</w:t>
      </w:r>
    </w:p>
    <w:p w14:paraId="51952AD9" w14:textId="629994FB" w:rsidR="00391F77" w:rsidRDefault="00391F77" w:rsidP="00391F77">
      <w:pPr>
        <w:pStyle w:val="ListParagraph"/>
        <w:numPr>
          <w:ilvl w:val="0"/>
          <w:numId w:val="13"/>
        </w:numPr>
      </w:pPr>
      <w:r w:rsidRPr="00C1458A">
        <w:t xml:space="preserve">Modeling Start Date: </w:t>
      </w:r>
      <w:r>
        <w:t>February 2023</w:t>
      </w:r>
      <w:r w:rsidRPr="00C1458A">
        <w:t>.</w:t>
      </w:r>
      <w:r>
        <w:t xml:space="preserve"> This start date is defined by Georgia EPD as the initiation of the first model run for this </w:t>
      </w:r>
      <w:proofErr w:type="gramStart"/>
      <w:r>
        <w:t>110(l) noninterference</w:t>
      </w:r>
      <w:proofErr w:type="gramEnd"/>
      <w:r>
        <w:t xml:space="preserve"> demonstration.</w:t>
      </w:r>
    </w:p>
    <w:p w14:paraId="6FDF429C" w14:textId="77777777" w:rsidR="007D4843" w:rsidRPr="003B6E06" w:rsidRDefault="007D4843" w:rsidP="007D4843">
      <w:pPr>
        <w:rPr>
          <w:b/>
        </w:rPr>
      </w:pPr>
      <w:r w:rsidRPr="003B6E06">
        <w:rPr>
          <w:b/>
        </w:rPr>
        <w:t>Travel Demand Modeling Assumptions</w:t>
      </w:r>
    </w:p>
    <w:p w14:paraId="630B5DDF" w14:textId="77777777" w:rsidR="007D4843" w:rsidRPr="003B6E06" w:rsidRDefault="007D4843" w:rsidP="0096300C">
      <w:pPr>
        <w:pStyle w:val="ListParagraph"/>
        <w:numPr>
          <w:ilvl w:val="0"/>
          <w:numId w:val="14"/>
        </w:numPr>
        <w:rPr>
          <w:color w:val="000000" w:themeColor="text1"/>
        </w:rPr>
      </w:pPr>
      <w:r w:rsidRPr="003B6E06">
        <w:t xml:space="preserve">Calibration Year: </w:t>
      </w:r>
      <w:r>
        <w:rPr>
          <w:color w:val="000000" w:themeColor="text1"/>
        </w:rPr>
        <w:t>2015</w:t>
      </w:r>
    </w:p>
    <w:p w14:paraId="461D0FF3" w14:textId="77777777" w:rsidR="007D4843" w:rsidRPr="003B6E06" w:rsidRDefault="007D4843" w:rsidP="0096300C">
      <w:pPr>
        <w:pStyle w:val="ListParagraph"/>
        <w:numPr>
          <w:ilvl w:val="1"/>
          <w:numId w:val="14"/>
        </w:numPr>
        <w:rPr>
          <w:color w:val="FF0000"/>
        </w:rPr>
      </w:pPr>
      <w:r w:rsidRPr="003B6E06">
        <w:t xml:space="preserve">Model </w:t>
      </w:r>
      <w:r>
        <w:t>calibrated/</w:t>
      </w:r>
      <w:r w:rsidRPr="003B6E06">
        <w:t xml:space="preserve">validated to the year 2015 using </w:t>
      </w:r>
      <w:r>
        <w:t xml:space="preserve">updated data and </w:t>
      </w:r>
      <w:r w:rsidRPr="003B6E06">
        <w:t xml:space="preserve">a comparison between estimated volumes and observed counts. See Appendix A for validation/calibration information.  </w:t>
      </w:r>
    </w:p>
    <w:p w14:paraId="63F9B23F" w14:textId="77777777" w:rsidR="007D4843" w:rsidRPr="003B6E06" w:rsidRDefault="007D4843" w:rsidP="0096300C">
      <w:pPr>
        <w:pStyle w:val="ListParagraph"/>
        <w:numPr>
          <w:ilvl w:val="0"/>
          <w:numId w:val="14"/>
        </w:numPr>
      </w:pPr>
      <w:r w:rsidRPr="003B6E06">
        <w:t xml:space="preserve">Social/Economic Data: See Appendix B. </w:t>
      </w:r>
    </w:p>
    <w:p w14:paraId="7D37F3F9" w14:textId="77777777" w:rsidR="007D4843" w:rsidRPr="003B6E06" w:rsidRDefault="007D4843" w:rsidP="0096300C">
      <w:pPr>
        <w:pStyle w:val="ListParagraph"/>
        <w:numPr>
          <w:ilvl w:val="0"/>
          <w:numId w:val="14"/>
        </w:numPr>
        <w:rPr>
          <w:color w:val="FF0000"/>
        </w:rPr>
      </w:pPr>
      <w:r w:rsidRPr="003B6E06">
        <w:t xml:space="preserve">ARC’s Activity-Based Travel </w:t>
      </w:r>
      <w:r>
        <w:t xml:space="preserve">Demand </w:t>
      </w:r>
      <w:r w:rsidRPr="003B6E06">
        <w:t xml:space="preserve">Model (ABM) is the basis for these runs. See Appendix C for an overview of ABM specifications.  </w:t>
      </w:r>
    </w:p>
    <w:p w14:paraId="66979689" w14:textId="77777777" w:rsidR="007D4843" w:rsidRDefault="007D4843" w:rsidP="007D4843">
      <w:pPr>
        <w:rPr>
          <w:b/>
        </w:rPr>
      </w:pPr>
      <w:r w:rsidRPr="00296F06">
        <w:rPr>
          <w:b/>
        </w:rPr>
        <w:t>Emissions Modeling Assumptions</w:t>
      </w:r>
    </w:p>
    <w:p w14:paraId="6076E201" w14:textId="24115C0B" w:rsidR="007D4843" w:rsidRPr="00391F77" w:rsidRDefault="007D4843" w:rsidP="00391F77">
      <w:pPr>
        <w:pStyle w:val="ListParagraph"/>
        <w:numPr>
          <w:ilvl w:val="0"/>
          <w:numId w:val="17"/>
        </w:numPr>
        <w:rPr>
          <w:color w:val="FF0000"/>
        </w:rPr>
      </w:pPr>
      <w:r w:rsidRPr="00C1458A">
        <w:t xml:space="preserve">Emissions Model: </w:t>
      </w:r>
      <w:r w:rsidR="005B0745">
        <w:t>MOVES3 – Database: movesdb202</w:t>
      </w:r>
      <w:r w:rsidR="00391F77">
        <w:t>21007 (MOVES Version 3.1)</w:t>
      </w:r>
    </w:p>
    <w:p w14:paraId="4BC93134" w14:textId="77777777" w:rsidR="007D4843" w:rsidRPr="00A479B0" w:rsidRDefault="007D4843" w:rsidP="007D4843">
      <w:pPr>
        <w:pStyle w:val="ListParagraph"/>
        <w:numPr>
          <w:ilvl w:val="1"/>
          <w:numId w:val="1"/>
        </w:numPr>
      </w:pPr>
      <w:r w:rsidRPr="00A479B0">
        <w:t xml:space="preserve">Emissions Process – use MOVES in inventory mode for a July </w:t>
      </w:r>
      <w:proofErr w:type="gramStart"/>
      <w:r w:rsidRPr="00A479B0">
        <w:t>weekday</w:t>
      </w:r>
      <w:proofErr w:type="gramEnd"/>
    </w:p>
    <w:p w14:paraId="2181CCCC" w14:textId="669C47B3" w:rsidR="00391F77" w:rsidRPr="00A479B0" w:rsidRDefault="00391F77" w:rsidP="00391F77">
      <w:pPr>
        <w:pStyle w:val="ListParagraph"/>
        <w:numPr>
          <w:ilvl w:val="2"/>
          <w:numId w:val="1"/>
        </w:numPr>
      </w:pPr>
      <w:r w:rsidRPr="00A479B0">
        <w:t xml:space="preserve">For the years </w:t>
      </w:r>
      <w:r>
        <w:t xml:space="preserve">2014, 2020, </w:t>
      </w:r>
      <w:r w:rsidRPr="003910A1">
        <w:t>203</w:t>
      </w:r>
      <w:r>
        <w:t>0</w:t>
      </w:r>
      <w:r w:rsidRPr="003910A1">
        <w:t xml:space="preserve">, </w:t>
      </w:r>
      <w:r>
        <w:t xml:space="preserve">2040, </w:t>
      </w:r>
      <w:r w:rsidRPr="003910A1">
        <w:t xml:space="preserve">and 2050 modeled </w:t>
      </w:r>
      <w:r w:rsidRPr="00A479B0">
        <w:t>travel data is used to calculate emissions</w:t>
      </w:r>
      <w:r>
        <w:t>. Prior to the I&amp;M 110(l) noninterference demonstration comparing emissions before and after I&amp;M reduction, emissions had to modified for the base (current I&amp;M) case for MOVES3 for 2014 from the maintenance plan including the MVEB. The other years were already updated through the most recent transportation conformity determination approved January 4, 2023. For 2030 while the 2008 ozone NAAQS maintenance plan needs to have safety margins and trends adjusted, the rest of the plan is unchanged including the 2030 MVEB. For the years 2025 and 2035, emissions were interpolated between 2030 and 2040 emissions.</w:t>
      </w:r>
      <w:r w:rsidRPr="00F63734">
        <w:t xml:space="preserve"> </w:t>
      </w:r>
      <w:r>
        <w:t xml:space="preserve">For the years 2025 and 2045, emissions were interpolated between 2020 and 2030 and 2040 and 2050, respectively. For 2020, there was also a mock run where 2020 was assumed with the reduced I&amp;M program </w:t>
      </w:r>
      <w:proofErr w:type="gramStart"/>
      <w:r>
        <w:t>in order to</w:t>
      </w:r>
      <w:proofErr w:type="gramEnd"/>
      <w:r>
        <w:t xml:space="preserve"> provide an interpolated 2025 emissions value for a reduced I&amp;M program (based on 2020 and 2030 reduced I&amp;M scenarios).</w:t>
      </w:r>
    </w:p>
    <w:p w14:paraId="1E4F8023" w14:textId="77777777" w:rsidR="007D4843" w:rsidRPr="00A479B0" w:rsidRDefault="007D4843" w:rsidP="007D4843">
      <w:pPr>
        <w:pStyle w:val="ListParagraph"/>
        <w:numPr>
          <w:ilvl w:val="1"/>
          <w:numId w:val="1"/>
        </w:numPr>
      </w:pPr>
      <w:r w:rsidRPr="00A479B0">
        <w:t>Run separately for the 13-county and 2-county portions of the nonattainment area</w:t>
      </w:r>
      <w:r w:rsidRPr="00A479B0">
        <w:rPr>
          <w:rStyle w:val="FootnoteReference"/>
        </w:rPr>
        <w:footnoteReference w:id="5"/>
      </w:r>
    </w:p>
    <w:p w14:paraId="6AF38CDD" w14:textId="77777777" w:rsidR="007D4843" w:rsidRPr="00A479B0" w:rsidRDefault="007D4843" w:rsidP="007D4843">
      <w:pPr>
        <w:pStyle w:val="ListParagraph"/>
        <w:numPr>
          <w:ilvl w:val="2"/>
          <w:numId w:val="1"/>
        </w:numPr>
      </w:pPr>
      <w:r w:rsidRPr="00A479B0">
        <w:t>13-county area activity, vehicle population and other inputs are assigned to Fulton County while running MOVES</w:t>
      </w:r>
    </w:p>
    <w:p w14:paraId="1C6FF0F0" w14:textId="77777777" w:rsidR="007D4843" w:rsidRPr="00A479B0" w:rsidRDefault="007D4843" w:rsidP="007D4843">
      <w:pPr>
        <w:pStyle w:val="ListParagraph"/>
        <w:numPr>
          <w:ilvl w:val="2"/>
          <w:numId w:val="1"/>
        </w:numPr>
      </w:pPr>
      <w:r w:rsidRPr="00A479B0">
        <w:t>2-county area activity, vehicle population and other inputs are assigned to Bartow County while running MOVES</w:t>
      </w:r>
    </w:p>
    <w:p w14:paraId="0D7ADF9D" w14:textId="45F904A5" w:rsidR="007D4843" w:rsidRDefault="007D4843" w:rsidP="00391F77">
      <w:pPr>
        <w:pStyle w:val="ListParagraph"/>
        <w:numPr>
          <w:ilvl w:val="0"/>
          <w:numId w:val="17"/>
        </w:numPr>
      </w:pPr>
      <w:r>
        <w:t>MOVES Inputs</w:t>
      </w:r>
    </w:p>
    <w:p w14:paraId="3DE134E5" w14:textId="77777777" w:rsidR="007D4843" w:rsidRDefault="007D4843" w:rsidP="00391F77">
      <w:pPr>
        <w:pStyle w:val="ListParagraph"/>
        <w:numPr>
          <w:ilvl w:val="1"/>
          <w:numId w:val="17"/>
        </w:numPr>
      </w:pPr>
      <w:r>
        <w:t xml:space="preserve">Road Type Distribution – Processed from the travel demand model, GDOT HPMS counts and MOVES defaults.  </w:t>
      </w:r>
      <w:proofErr w:type="gramStart"/>
      <w:r>
        <w:t>Summarizes</w:t>
      </w:r>
      <w:proofErr w:type="gramEnd"/>
      <w:r>
        <w:t xml:space="preserve"> VMT fraction by road type and source type for the 13 and 2 counties separately.</w:t>
      </w:r>
    </w:p>
    <w:p w14:paraId="03B70B23" w14:textId="77777777" w:rsidR="007D4843" w:rsidRPr="00CE7D9E" w:rsidRDefault="007D4843" w:rsidP="00391F77">
      <w:pPr>
        <w:pStyle w:val="ListParagraph"/>
        <w:numPr>
          <w:ilvl w:val="1"/>
          <w:numId w:val="17"/>
        </w:numPr>
      </w:pPr>
      <w:r w:rsidRPr="00CE7D9E">
        <w:t>Source Type Population</w:t>
      </w:r>
    </w:p>
    <w:p w14:paraId="2032FE4E" w14:textId="77777777" w:rsidR="007D4843" w:rsidRPr="00A479B0" w:rsidRDefault="007D4843" w:rsidP="00391F77">
      <w:pPr>
        <w:pStyle w:val="ListParagraph"/>
        <w:numPr>
          <w:ilvl w:val="2"/>
          <w:numId w:val="17"/>
        </w:numPr>
      </w:pPr>
      <w:r>
        <w:t xml:space="preserve">Started with 2020 R.L. Polk &amp; Co. registration data for the Atlanta maintenance counties for the 2008 ozone NAAQS that include the nonattainment counties for the 2015 ozone </w:t>
      </w:r>
      <w:proofErr w:type="gramStart"/>
      <w:r>
        <w:t>NAAQS</w:t>
      </w:r>
      <w:r w:rsidRPr="00A479B0">
        <w:t>S</w:t>
      </w:r>
      <w:proofErr w:type="gramEnd"/>
    </w:p>
    <w:p w14:paraId="5F52BFD7" w14:textId="77777777" w:rsidR="007D4843" w:rsidRPr="00A479B0" w:rsidRDefault="007D4843" w:rsidP="00391F77">
      <w:pPr>
        <w:pStyle w:val="ListParagraph"/>
        <w:numPr>
          <w:ilvl w:val="2"/>
          <w:numId w:val="17"/>
        </w:numPr>
      </w:pPr>
      <w:r w:rsidRPr="00A479B0">
        <w:t xml:space="preserve">Future analysis year data is grown from </w:t>
      </w:r>
      <w:r w:rsidRPr="00F01957">
        <w:t>20</w:t>
      </w:r>
      <w:r>
        <w:t xml:space="preserve">20 </w:t>
      </w:r>
      <w:r w:rsidRPr="00A479B0">
        <w:t xml:space="preserve">based on the ratio of MPO population </w:t>
      </w:r>
      <w:proofErr w:type="gramStart"/>
      <w:r w:rsidRPr="00A479B0">
        <w:t>estimates</w:t>
      </w:r>
      <w:proofErr w:type="gramEnd"/>
    </w:p>
    <w:p w14:paraId="04967C37" w14:textId="77777777" w:rsidR="007D4843" w:rsidRPr="00A479B0" w:rsidRDefault="007D4843" w:rsidP="00391F77">
      <w:pPr>
        <w:pStyle w:val="ListParagraph"/>
        <w:numPr>
          <w:ilvl w:val="2"/>
          <w:numId w:val="17"/>
        </w:numPr>
      </w:pPr>
      <w:r w:rsidRPr="00A479B0">
        <w:t xml:space="preserve">Since the population of vehicle type 62 (combination long-haul trucks) can easily be underrepresented in areas with lots of through traffic, the vehicle population for MOVES source type 62 was revised using MOVES default VMT/VPOP ratios and VMT for HPMS type 60 </w:t>
      </w:r>
      <w:proofErr w:type="gramStart"/>
      <w:r w:rsidRPr="00A479B0">
        <w:t>data</w:t>
      </w:r>
      <w:proofErr w:type="gramEnd"/>
    </w:p>
    <w:p w14:paraId="1C280D0B" w14:textId="77777777" w:rsidR="007D4843" w:rsidRDefault="007D4843" w:rsidP="00391F77">
      <w:pPr>
        <w:pStyle w:val="ListParagraph"/>
        <w:numPr>
          <w:ilvl w:val="1"/>
          <w:numId w:val="17"/>
        </w:numPr>
      </w:pPr>
      <w:r>
        <w:t>Vehicle Type VMT</w:t>
      </w:r>
    </w:p>
    <w:p w14:paraId="47892847" w14:textId="77777777" w:rsidR="007D4843" w:rsidRDefault="007D4843" w:rsidP="00391F77">
      <w:pPr>
        <w:pStyle w:val="ListParagraph"/>
        <w:numPr>
          <w:ilvl w:val="2"/>
          <w:numId w:val="17"/>
        </w:numPr>
      </w:pPr>
      <w:r>
        <w:t xml:space="preserve">HPMS </w:t>
      </w:r>
      <w:proofErr w:type="spellStart"/>
      <w:r>
        <w:t>VTypeYear</w:t>
      </w:r>
      <w:proofErr w:type="spellEnd"/>
      <w:r>
        <w:t xml:space="preserve"> - Processed from the travel demand model, GDOT HPMS Counts, and an EPA daily to annual VMT converter.  Assigns total annual VMT by HPMS vehicle type.  </w:t>
      </w:r>
    </w:p>
    <w:p w14:paraId="73DAF7FE" w14:textId="77777777" w:rsidR="007D4843" w:rsidRDefault="007D4843" w:rsidP="00391F77">
      <w:pPr>
        <w:pStyle w:val="ListParagraph"/>
        <w:numPr>
          <w:ilvl w:val="2"/>
          <w:numId w:val="17"/>
        </w:numPr>
      </w:pPr>
      <w:r>
        <w:t xml:space="preserve">Month VMT Fraction: MOVES </w:t>
      </w:r>
      <w:proofErr w:type="gramStart"/>
      <w:r>
        <w:t>defaults</w:t>
      </w:r>
      <w:proofErr w:type="gramEnd"/>
    </w:p>
    <w:p w14:paraId="3268C110" w14:textId="77777777" w:rsidR="007D4843" w:rsidRDefault="007D4843" w:rsidP="00391F77">
      <w:pPr>
        <w:pStyle w:val="ListParagraph"/>
        <w:numPr>
          <w:ilvl w:val="2"/>
          <w:numId w:val="17"/>
        </w:numPr>
      </w:pPr>
      <w:r>
        <w:t xml:space="preserve">Day VMT Fraction: MOVES </w:t>
      </w:r>
      <w:proofErr w:type="gramStart"/>
      <w:r>
        <w:t>defaults</w:t>
      </w:r>
      <w:proofErr w:type="gramEnd"/>
    </w:p>
    <w:p w14:paraId="77C34AF7" w14:textId="77777777" w:rsidR="007D4843" w:rsidRDefault="007D4843" w:rsidP="00391F77">
      <w:pPr>
        <w:pStyle w:val="ListParagraph"/>
        <w:numPr>
          <w:ilvl w:val="2"/>
          <w:numId w:val="17"/>
        </w:numPr>
      </w:pPr>
      <w:r>
        <w:t>Hour VMT Fraction:  Derived from the travel demand model by source and road type.  The fractions are determined separately for the 13 and 2 county areas.</w:t>
      </w:r>
    </w:p>
    <w:p w14:paraId="1A1FE2DD" w14:textId="1E4E16E3" w:rsidR="007D4843" w:rsidRDefault="007D4843" w:rsidP="00391F77">
      <w:pPr>
        <w:pStyle w:val="ListParagraph"/>
        <w:numPr>
          <w:ilvl w:val="1"/>
          <w:numId w:val="17"/>
        </w:numPr>
      </w:pPr>
      <w:r>
        <w:t>I</w:t>
      </w:r>
      <w:r w:rsidR="00391F77">
        <w:t>&amp;</w:t>
      </w:r>
      <w:r>
        <w:t xml:space="preserve">M Programs – Applied to the 13-county area </w:t>
      </w:r>
      <w:r w:rsidRPr="001C26C8">
        <w:t xml:space="preserve">only </w:t>
      </w:r>
      <w:r w:rsidR="00391F77" w:rsidRPr="00391F77">
        <w:t xml:space="preserve">and runs will be conducted for the current I&amp;M program and reduced I&amp;M program which excludes the gas cap pressure check test </w:t>
      </w:r>
      <w:r w:rsidRPr="001C26C8">
        <w:t>(See Appendix D)</w:t>
      </w:r>
    </w:p>
    <w:p w14:paraId="544EF8F3" w14:textId="77777777" w:rsidR="007D4843" w:rsidRDefault="007D4843" w:rsidP="00391F77">
      <w:pPr>
        <w:pStyle w:val="ListParagraph"/>
        <w:numPr>
          <w:ilvl w:val="1"/>
          <w:numId w:val="17"/>
        </w:numPr>
      </w:pPr>
      <w:r>
        <w:t xml:space="preserve">Age Distribution – </w:t>
      </w:r>
      <w:r w:rsidRPr="00A479B0">
        <w:t>Age data was derived from</w:t>
      </w:r>
      <w:r w:rsidRPr="00F01957">
        <w:t xml:space="preserve"> 20</w:t>
      </w:r>
      <w:r>
        <w:t xml:space="preserve">20 </w:t>
      </w:r>
      <w:r w:rsidRPr="00A479B0">
        <w:t xml:space="preserve">R.L. Polk &amp; Co. registration data for the 13 and 2 counties separately for all vehicle types, except HDV8b (Source type 62) where MOVES defaults were </w:t>
      </w:r>
      <w:proofErr w:type="gramStart"/>
      <w:r w:rsidRPr="00A479B0">
        <w:t>used</w:t>
      </w:r>
      <w:proofErr w:type="gramEnd"/>
    </w:p>
    <w:p w14:paraId="74B152BF" w14:textId="57F44168" w:rsidR="007D4843" w:rsidRDefault="007D4843" w:rsidP="00391F77">
      <w:pPr>
        <w:pStyle w:val="ListParagraph"/>
        <w:numPr>
          <w:ilvl w:val="1"/>
          <w:numId w:val="17"/>
        </w:numPr>
      </w:pPr>
      <w:r>
        <w:t>Average Speed Distribution – Processed from the travel demand model with HPMS VMT adjustment factors applied.  Calculates VHT by hour by speed bin by source.</w:t>
      </w:r>
      <w:r w:rsidR="00220CAB">
        <w:t xml:space="preserve">  </w:t>
      </w:r>
      <w:r>
        <w:t>The distribution is determined separately for the 13 and 2 county areas.</w:t>
      </w:r>
    </w:p>
    <w:p w14:paraId="5E18522B" w14:textId="56838BD9" w:rsidR="007D4843" w:rsidRPr="00F01957" w:rsidRDefault="007D4843" w:rsidP="00391F77">
      <w:pPr>
        <w:pStyle w:val="ListParagraph"/>
        <w:numPr>
          <w:ilvl w:val="1"/>
          <w:numId w:val="17"/>
        </w:numPr>
      </w:pPr>
      <w:bookmarkStart w:id="8" w:name="_Hlk115097197"/>
      <w:r w:rsidRPr="00F01957">
        <w:t xml:space="preserve">Fuel – </w:t>
      </w:r>
      <w:r>
        <w:t>Local fuel use now matches between the 13- and 2-county areas due to the relaxation of the RVP summer fuel requirement in the 13-county area.</w:t>
      </w:r>
      <w:r w:rsidR="00220CAB">
        <w:t xml:space="preserve">  </w:t>
      </w:r>
      <w:r w:rsidR="005B0745" w:rsidRPr="005B0745">
        <w:t>MOVES3 was updated to correctly characterize Atlanta area fuels, so MOVES defaults were used.</w:t>
      </w:r>
    </w:p>
    <w:bookmarkEnd w:id="8"/>
    <w:p w14:paraId="78AACC09" w14:textId="77777777" w:rsidR="007D4843" w:rsidRPr="00F01957" w:rsidRDefault="007D4843" w:rsidP="00391F77">
      <w:pPr>
        <w:pStyle w:val="ListParagraph"/>
        <w:numPr>
          <w:ilvl w:val="1"/>
          <w:numId w:val="17"/>
        </w:numPr>
      </w:pPr>
      <w:r w:rsidRPr="00F01957">
        <w:t>Meteorology – July 2014 weather for Hartsfield-Jackson Atlanta International Airport was used for this analysis consistent with the 2008 Eight Hour Ozone Maintenance SIP</w:t>
      </w:r>
    </w:p>
    <w:p w14:paraId="16BD1D81" w14:textId="77777777" w:rsidR="005B0745" w:rsidRDefault="005B0745" w:rsidP="00391F77">
      <w:pPr>
        <w:pStyle w:val="ListParagraph"/>
        <w:numPr>
          <w:ilvl w:val="1"/>
          <w:numId w:val="17"/>
        </w:numPr>
      </w:pPr>
      <w:r w:rsidRPr="005B0745">
        <w:t xml:space="preserve">Starts – The regional travel demand model determines the number of </w:t>
      </w:r>
      <w:proofErr w:type="gramStart"/>
      <w:r w:rsidRPr="005B0745">
        <w:t>trip</w:t>
      </w:r>
      <w:proofErr w:type="gramEnd"/>
      <w:r w:rsidRPr="005B0745">
        <w:t xml:space="preserve"> starts in each of the 13 and 2 county areas. Applies only to the trips per day input. Defaults used for the rest of the start inputs. Trips per day for MOVES3 requires the activity be split by vehicle type for each of the 13 and 2 county areas. This split is accomplished by multiplying total trips per day from the regional travel demand model times the fraction of trips by each vehicle type. This fraction is calculated from vehicle population and MOVES default starts per day per vehicle. Defaults used for the rest of the start inputs. </w:t>
      </w:r>
    </w:p>
    <w:p w14:paraId="13EEE183" w14:textId="30A501A8" w:rsidR="005B0745" w:rsidRDefault="005B0745" w:rsidP="00391F77">
      <w:pPr>
        <w:pStyle w:val="ListParagraph"/>
        <w:numPr>
          <w:ilvl w:val="1"/>
          <w:numId w:val="17"/>
        </w:numPr>
      </w:pPr>
      <w:r>
        <w:t xml:space="preserve">Idle – MOVES </w:t>
      </w:r>
      <w:proofErr w:type="gramStart"/>
      <w:r>
        <w:t>defaults</w:t>
      </w:r>
      <w:proofErr w:type="gramEnd"/>
    </w:p>
    <w:p w14:paraId="1B33156E" w14:textId="765E1F97" w:rsidR="007D4843" w:rsidRPr="00DC5760" w:rsidRDefault="007D4843" w:rsidP="00391F77">
      <w:pPr>
        <w:pStyle w:val="ListParagraph"/>
        <w:numPr>
          <w:ilvl w:val="1"/>
          <w:numId w:val="17"/>
        </w:numPr>
      </w:pPr>
      <w:r w:rsidRPr="00CE7D9E">
        <w:t xml:space="preserve">Hotelling – MOVES </w:t>
      </w:r>
      <w:proofErr w:type="gramStart"/>
      <w:r w:rsidRPr="00DC5760">
        <w:t>defaults</w:t>
      </w:r>
      <w:proofErr w:type="gramEnd"/>
    </w:p>
    <w:p w14:paraId="11C9CC2B" w14:textId="77777777" w:rsidR="007D4843" w:rsidRPr="00DC5760" w:rsidRDefault="007D4843" w:rsidP="00391F77">
      <w:pPr>
        <w:pStyle w:val="ListParagraph"/>
        <w:numPr>
          <w:ilvl w:val="0"/>
          <w:numId w:val="17"/>
        </w:numPr>
      </w:pPr>
      <w:bookmarkStart w:id="9" w:name="_Hlk115097591"/>
      <w:r w:rsidRPr="00DC5760">
        <w:t>VMT HPMS Adjustment Factors</w:t>
      </w:r>
    </w:p>
    <w:p w14:paraId="05AA51BC" w14:textId="5D0B0C41" w:rsidR="007D4843" w:rsidRDefault="007D4843" w:rsidP="00BD5718">
      <w:pPr>
        <w:pStyle w:val="ListParagraph"/>
        <w:numPr>
          <w:ilvl w:val="0"/>
          <w:numId w:val="16"/>
        </w:numPr>
        <w:spacing w:after="0" w:line="240" w:lineRule="auto"/>
      </w:pPr>
      <w:r>
        <w:t>Calculated for the year 201</w:t>
      </w:r>
      <w:r w:rsidR="005B0745">
        <w:t>9</w:t>
      </w:r>
      <w:r>
        <w:t xml:space="preserve"> (See Appendix E)</w:t>
      </w:r>
    </w:p>
    <w:p w14:paraId="720E510A" w14:textId="77777777" w:rsidR="007D4843" w:rsidRPr="005537E4" w:rsidRDefault="007D4843" w:rsidP="00BD5718">
      <w:pPr>
        <w:pStyle w:val="ListParagraph"/>
        <w:numPr>
          <w:ilvl w:val="0"/>
          <w:numId w:val="16"/>
        </w:numPr>
        <w:spacing w:after="0" w:line="240" w:lineRule="auto"/>
      </w:pPr>
      <w:r w:rsidRPr="005537E4">
        <w:t xml:space="preserve">HPMS adjustment in base year of calibration in accordance with Section 93.122(b)(3) of the Transportation Conformity Rule which recommends that HPMS adjustment factors be developed to reconcile travel model estimates of VMT in base year of validation to HPMS estimates for the same </w:t>
      </w:r>
      <w:proofErr w:type="gramStart"/>
      <w:r w:rsidRPr="005537E4">
        <w:t>period</w:t>
      </w:r>
      <w:proofErr w:type="gramEnd"/>
    </w:p>
    <w:p w14:paraId="2A47F23B" w14:textId="77777777" w:rsidR="007D4843" w:rsidRPr="005537E4" w:rsidRDefault="007D4843" w:rsidP="00BD5718">
      <w:pPr>
        <w:numPr>
          <w:ilvl w:val="0"/>
          <w:numId w:val="16"/>
        </w:numPr>
        <w:spacing w:after="0" w:line="240" w:lineRule="auto"/>
        <w:rPr>
          <w:rFonts w:ascii="Times New Roman" w:hAnsi="Times New Roman"/>
          <w:b/>
        </w:rPr>
      </w:pPr>
      <w:r w:rsidRPr="005537E4">
        <w:t>Summer (seasonal) adjustment to convert from average annual VMT to summer-season VMT</w:t>
      </w:r>
      <w:r w:rsidRPr="005537E4">
        <w:rPr>
          <w:rStyle w:val="FootnoteReference"/>
        </w:rPr>
        <w:footnoteReference w:id="6"/>
      </w:r>
    </w:p>
    <w:p w14:paraId="2524962E" w14:textId="788FE06D" w:rsidR="007D4843" w:rsidRDefault="007D4843" w:rsidP="00BD5718">
      <w:pPr>
        <w:numPr>
          <w:ilvl w:val="0"/>
          <w:numId w:val="16"/>
        </w:numPr>
        <w:spacing w:after="0" w:line="240" w:lineRule="auto"/>
        <w:rPr>
          <w:rFonts w:ascii="Times New Roman" w:hAnsi="Times New Roman"/>
          <w:b/>
        </w:rPr>
      </w:pPr>
      <w:r w:rsidRPr="005537E4">
        <w:t xml:space="preserve">Factors applied to VMT estimates generated by ARC travel demand model for 13-county portion and </w:t>
      </w:r>
      <w:r>
        <w:t>2</w:t>
      </w:r>
      <w:r w:rsidRPr="005537E4">
        <w:t>-county portion of 2</w:t>
      </w:r>
      <w:r w:rsidR="005B0745">
        <w:t>1</w:t>
      </w:r>
      <w:r w:rsidRPr="005537E4">
        <w:t xml:space="preserve">-county modeling domain, </w:t>
      </w:r>
      <w:proofErr w:type="gramStart"/>
      <w:r w:rsidRPr="005537E4">
        <w:t>separately</w:t>
      </w:r>
      <w:proofErr w:type="gramEnd"/>
    </w:p>
    <w:bookmarkEnd w:id="9"/>
    <w:p w14:paraId="72BB0444" w14:textId="00659D90" w:rsidR="007D4843" w:rsidRPr="00391F77" w:rsidRDefault="007D4843" w:rsidP="00391F77">
      <w:pPr>
        <w:numPr>
          <w:ilvl w:val="0"/>
          <w:numId w:val="16"/>
        </w:numPr>
        <w:spacing w:after="0" w:line="240" w:lineRule="auto"/>
        <w:rPr>
          <w:rFonts w:ascii="Times New Roman" w:hAnsi="Times New Roman"/>
          <w:b/>
        </w:rPr>
      </w:pPr>
      <w:r>
        <w:t xml:space="preserve">Factors aggregated up to MOVES road types from base HPMS functional </w:t>
      </w:r>
      <w:proofErr w:type="gramStart"/>
      <w:r>
        <w:t>classifications</w:t>
      </w:r>
      <w:proofErr w:type="gramEnd"/>
    </w:p>
    <w:p w14:paraId="0733143C" w14:textId="77777777" w:rsidR="00391F77" w:rsidRDefault="00391F77" w:rsidP="00391F77">
      <w:pPr>
        <w:pStyle w:val="ListParagraph"/>
        <w:numPr>
          <w:ilvl w:val="0"/>
          <w:numId w:val="17"/>
        </w:numPr>
      </w:pPr>
      <w:r>
        <w:t>Off-Model Calculations</w:t>
      </w:r>
    </w:p>
    <w:p w14:paraId="4D9BF559" w14:textId="77777777" w:rsidR="00391F77" w:rsidRDefault="00391F77" w:rsidP="00391F77">
      <w:pPr>
        <w:pStyle w:val="ListParagraph"/>
        <w:numPr>
          <w:ilvl w:val="1"/>
          <w:numId w:val="17"/>
        </w:numPr>
      </w:pPr>
      <w:r>
        <w:t>Senior I/M Exemption (emissions debit)</w:t>
      </w:r>
    </w:p>
    <w:p w14:paraId="73202FF8" w14:textId="77777777" w:rsidR="00391F77" w:rsidRDefault="00391F77" w:rsidP="00391F77">
      <w:pPr>
        <w:pStyle w:val="ListParagraph"/>
        <w:numPr>
          <w:ilvl w:val="2"/>
          <w:numId w:val="17"/>
        </w:numPr>
      </w:pPr>
      <w:r>
        <w:t xml:space="preserve">The Senior I/M Exemption calculated for year 2002 is conservatively high and will be added to the regional emission inventories for each analysis </w:t>
      </w:r>
      <w:proofErr w:type="gramStart"/>
      <w:r>
        <w:t>year</w:t>
      </w:r>
      <w:proofErr w:type="gramEnd"/>
    </w:p>
    <w:p w14:paraId="34DD38BA" w14:textId="77777777" w:rsidR="00391F77" w:rsidRDefault="00391F77" w:rsidP="00391F77">
      <w:pPr>
        <w:pStyle w:val="ListParagraph"/>
        <w:numPr>
          <w:ilvl w:val="2"/>
          <w:numId w:val="17"/>
        </w:numPr>
      </w:pPr>
      <w:r>
        <w:t>This exemption assumption will be unchanged for reduced I&amp;M scenario.</w:t>
      </w:r>
    </w:p>
    <w:p w14:paraId="36B1572C" w14:textId="77777777" w:rsidR="007D4843" w:rsidRDefault="007D4843" w:rsidP="00391F77">
      <w:pPr>
        <w:pStyle w:val="ListParagraph"/>
        <w:numPr>
          <w:ilvl w:val="0"/>
          <w:numId w:val="17"/>
        </w:numPr>
      </w:pPr>
      <w:r>
        <w:t>TCMs</w:t>
      </w:r>
    </w:p>
    <w:p w14:paraId="4C6A0794" w14:textId="77777777" w:rsidR="007D4843" w:rsidRDefault="007D4843" w:rsidP="00391F77">
      <w:pPr>
        <w:pStyle w:val="ListParagraph"/>
        <w:numPr>
          <w:ilvl w:val="1"/>
          <w:numId w:val="17"/>
        </w:numPr>
      </w:pPr>
      <w:r>
        <w:t>No additional credit is taken in the emissions modeling process for SIP TCMs</w:t>
      </w:r>
    </w:p>
    <w:p w14:paraId="1AB19561" w14:textId="368BEB6C" w:rsidR="007D4843" w:rsidRDefault="007D4843" w:rsidP="00391F77">
      <w:pPr>
        <w:pStyle w:val="ListParagraph"/>
        <w:numPr>
          <w:ilvl w:val="1"/>
          <w:numId w:val="17"/>
        </w:numPr>
      </w:pPr>
      <w:r>
        <w:t>A full list of implemented TCMs is attached as Appendix F</w:t>
      </w:r>
      <w:r w:rsidR="00391F77">
        <w:t xml:space="preserve"> (only one remaining)</w:t>
      </w:r>
    </w:p>
    <w:p w14:paraId="29BC7132" w14:textId="77777777" w:rsidR="007D4843" w:rsidRDefault="007D4843" w:rsidP="007D4843">
      <w:pPr>
        <w:pStyle w:val="ListParagraph"/>
        <w:ind w:left="1440"/>
      </w:pPr>
    </w:p>
    <w:p w14:paraId="0673F6A8" w14:textId="53E33C71" w:rsidR="002F50E5" w:rsidRDefault="002F50E5" w:rsidP="002F50E5">
      <w:pPr>
        <w:rPr>
          <w:b/>
          <w:sz w:val="24"/>
          <w:szCs w:val="24"/>
        </w:rPr>
      </w:pPr>
      <w:r>
        <w:rPr>
          <w:b/>
          <w:sz w:val="24"/>
          <w:szCs w:val="24"/>
        </w:rPr>
        <w:t>1997</w:t>
      </w:r>
      <w:r w:rsidRPr="00074343">
        <w:rPr>
          <w:b/>
          <w:sz w:val="24"/>
          <w:szCs w:val="24"/>
        </w:rPr>
        <w:t xml:space="preserve"> EIGHT-HOUR OZONE STANDARD PLANNING ASSUMPTIONS &amp; MODELING INPUTS</w:t>
      </w:r>
    </w:p>
    <w:p w14:paraId="5376EC69" w14:textId="7F6C5501" w:rsidR="001F1C81" w:rsidRDefault="001F1C81" w:rsidP="002F50E5">
      <w:pPr>
        <w:rPr>
          <w:szCs w:val="24"/>
        </w:rPr>
      </w:pPr>
      <w:r w:rsidRPr="001F1C81">
        <w:rPr>
          <w:szCs w:val="24"/>
        </w:rPr>
        <w:t xml:space="preserve">Pursuant to </w:t>
      </w:r>
      <w:r>
        <w:rPr>
          <w:szCs w:val="24"/>
        </w:rPr>
        <w:t xml:space="preserve">EPA Guidance released </w:t>
      </w:r>
      <w:r w:rsidR="007432EC">
        <w:rPr>
          <w:szCs w:val="24"/>
        </w:rPr>
        <w:t>o</w:t>
      </w:r>
      <w:r>
        <w:rPr>
          <w:szCs w:val="24"/>
        </w:rPr>
        <w:t>n November</w:t>
      </w:r>
      <w:r w:rsidR="007432EC">
        <w:rPr>
          <w:szCs w:val="24"/>
        </w:rPr>
        <w:t xml:space="preserve"> 29,</w:t>
      </w:r>
      <w:r>
        <w:rPr>
          <w:szCs w:val="24"/>
        </w:rPr>
        <w:t xml:space="preserve"> 2018 (EPA-420-B-18-050) titled “Transportation Conformity Guidance for the </w:t>
      </w:r>
      <w:r w:rsidRPr="001F1C81">
        <w:rPr>
          <w:i/>
          <w:szCs w:val="24"/>
        </w:rPr>
        <w:t>South Coast II</w:t>
      </w:r>
      <w:r>
        <w:rPr>
          <w:szCs w:val="24"/>
        </w:rPr>
        <w:t xml:space="preserve"> Court Decision” emissions modeling</w:t>
      </w:r>
      <w:r w:rsidR="007432EC">
        <w:rPr>
          <w:szCs w:val="24"/>
        </w:rPr>
        <w:t xml:space="preserve"> (</w:t>
      </w:r>
      <w:proofErr w:type="gramStart"/>
      <w:r w:rsidR="007432EC">
        <w:rPr>
          <w:szCs w:val="24"/>
        </w:rPr>
        <w:t>i.e.</w:t>
      </w:r>
      <w:proofErr w:type="gramEnd"/>
      <w:r w:rsidR="007432EC">
        <w:rPr>
          <w:szCs w:val="24"/>
        </w:rPr>
        <w:t xml:space="preserve"> regional emissions analysis)</w:t>
      </w:r>
      <w:r>
        <w:rPr>
          <w:szCs w:val="24"/>
        </w:rPr>
        <w:t xml:space="preserve"> is not required to demonstrate conformity for the 1997 eight-hour ozone standard</w:t>
      </w:r>
      <w:r w:rsidR="007432EC">
        <w:rPr>
          <w:szCs w:val="24"/>
        </w:rPr>
        <w:t xml:space="preserve"> (see 40 CFR 93.109(c)</w:t>
      </w:r>
      <w:r>
        <w:rPr>
          <w:szCs w:val="24"/>
        </w:rPr>
        <w:t xml:space="preserve">. </w:t>
      </w:r>
      <w:r w:rsidR="009B6E58">
        <w:rPr>
          <w:szCs w:val="24"/>
        </w:rPr>
        <w:t xml:space="preserve">Also, a second limited maintenance plan has been approved March 9, 2023 (see </w:t>
      </w:r>
      <w:r w:rsidR="009B6E58" w:rsidRPr="009B6E58">
        <w:rPr>
          <w:szCs w:val="24"/>
        </w:rPr>
        <w:t>88 FR 7883</w:t>
      </w:r>
      <w:r w:rsidR="009B6E58">
        <w:rPr>
          <w:szCs w:val="24"/>
        </w:rPr>
        <w:t xml:space="preserve">) </w:t>
      </w:r>
      <w:r w:rsidR="00CB0DAD">
        <w:rPr>
          <w:szCs w:val="24"/>
        </w:rPr>
        <w:t xml:space="preserve">to cover the last 10 years of the </w:t>
      </w:r>
      <w:proofErr w:type="gramStart"/>
      <w:r w:rsidR="00CB0DAD">
        <w:rPr>
          <w:szCs w:val="24"/>
        </w:rPr>
        <w:t>20 year</w:t>
      </w:r>
      <w:proofErr w:type="gramEnd"/>
      <w:r w:rsidR="00CB0DAD">
        <w:rPr>
          <w:szCs w:val="24"/>
        </w:rPr>
        <w:t xml:space="preserve"> maintenance period</w:t>
      </w:r>
      <w:r w:rsidR="009B6E58">
        <w:rPr>
          <w:szCs w:val="24"/>
        </w:rPr>
        <w:t xml:space="preserve"> and does not require a regional emissions analysis for comparisons with limits</w:t>
      </w:r>
      <w:r w:rsidR="00CB0DAD">
        <w:rPr>
          <w:szCs w:val="24"/>
        </w:rPr>
        <w:t xml:space="preserve"> as there are no budget limits</w:t>
      </w:r>
      <w:r w:rsidR="009B6E58">
        <w:rPr>
          <w:szCs w:val="24"/>
        </w:rPr>
        <w:t>.</w:t>
      </w:r>
      <w:r w:rsidR="0012443E">
        <w:rPr>
          <w:szCs w:val="24"/>
        </w:rPr>
        <w:t xml:space="preserve"> In addition, the I&amp;M program only covers the 13 county Atlanta area, none of which are part of the orphan counties portion of the 1997 maintenance area (“orphan” areas are counties in maintenance for a revoked standard without maintenance for other standards which are five counties in Atlanta: Carroll, Barrow, Hall, Spalding, and Walton.).</w:t>
      </w:r>
      <w:r w:rsidR="009B6E58">
        <w:rPr>
          <w:szCs w:val="24"/>
        </w:rPr>
        <w:t xml:space="preserve"> </w:t>
      </w:r>
      <w:r>
        <w:rPr>
          <w:szCs w:val="24"/>
        </w:rPr>
        <w:t>As such, no planning assumptions are prepared</w:t>
      </w:r>
      <w:r w:rsidR="0012443E">
        <w:rPr>
          <w:szCs w:val="24"/>
        </w:rPr>
        <w:t xml:space="preserve"> and needed</w:t>
      </w:r>
      <w:r>
        <w:rPr>
          <w:szCs w:val="24"/>
        </w:rPr>
        <w:t xml:space="preserve"> to demonstrate conformity</w:t>
      </w:r>
      <w:r w:rsidR="00E723B5">
        <w:rPr>
          <w:szCs w:val="24"/>
        </w:rPr>
        <w:t xml:space="preserve"> and compare with 1997 maintenance plan inventories for the </w:t>
      </w:r>
      <w:proofErr w:type="gramStart"/>
      <w:r w:rsidR="00E723B5">
        <w:rPr>
          <w:szCs w:val="24"/>
        </w:rPr>
        <w:t>110(l) noninterference</w:t>
      </w:r>
      <w:proofErr w:type="gramEnd"/>
      <w:r w:rsidR="00E723B5">
        <w:rPr>
          <w:szCs w:val="24"/>
        </w:rPr>
        <w:t xml:space="preserve"> demonstration. </w:t>
      </w:r>
      <w:r>
        <w:rPr>
          <w:szCs w:val="24"/>
        </w:rPr>
        <w:t>Instead, th</w:t>
      </w:r>
      <w:r w:rsidR="00391F77">
        <w:rPr>
          <w:szCs w:val="24"/>
        </w:rPr>
        <w:t>is</w:t>
      </w:r>
      <w:r>
        <w:rPr>
          <w:szCs w:val="24"/>
        </w:rPr>
        <w:t xml:space="preserve"> </w:t>
      </w:r>
      <w:proofErr w:type="gramStart"/>
      <w:r w:rsidR="00391F77">
        <w:rPr>
          <w:szCs w:val="24"/>
        </w:rPr>
        <w:t>110(l)</w:t>
      </w:r>
      <w:r>
        <w:rPr>
          <w:szCs w:val="24"/>
        </w:rPr>
        <w:t xml:space="preserve"> </w:t>
      </w:r>
      <w:r w:rsidR="00E723B5">
        <w:rPr>
          <w:szCs w:val="24"/>
        </w:rPr>
        <w:t>noninterference</w:t>
      </w:r>
      <w:proofErr w:type="gramEnd"/>
      <w:r w:rsidR="00E723B5">
        <w:rPr>
          <w:szCs w:val="24"/>
        </w:rPr>
        <w:t xml:space="preserve"> demonstration </w:t>
      </w:r>
      <w:r w:rsidR="0012443E">
        <w:rPr>
          <w:szCs w:val="24"/>
        </w:rPr>
        <w:t xml:space="preserve">satisfies the noninterference </w:t>
      </w:r>
      <w:r w:rsidR="00E723B5">
        <w:rPr>
          <w:szCs w:val="24"/>
        </w:rPr>
        <w:t>requirements</w:t>
      </w:r>
      <w:r w:rsidR="0012443E">
        <w:rPr>
          <w:szCs w:val="24"/>
        </w:rPr>
        <w:t xml:space="preserve"> for</w:t>
      </w:r>
      <w:r w:rsidR="00707EF7">
        <w:rPr>
          <w:szCs w:val="24"/>
        </w:rPr>
        <w:t xml:space="preserve"> the 1997 standard</w:t>
      </w:r>
      <w:r w:rsidR="004E7A88">
        <w:rPr>
          <w:szCs w:val="24"/>
        </w:rPr>
        <w:t xml:space="preserve"> </w:t>
      </w:r>
      <w:r w:rsidR="00E723B5">
        <w:rPr>
          <w:szCs w:val="24"/>
        </w:rPr>
        <w:t>by</w:t>
      </w:r>
      <w:r w:rsidR="00707EF7">
        <w:rPr>
          <w:szCs w:val="24"/>
        </w:rPr>
        <w:t xml:space="preserve"> the</w:t>
      </w:r>
      <w:r w:rsidR="00E723B5">
        <w:rPr>
          <w:szCs w:val="24"/>
        </w:rPr>
        <w:t xml:space="preserve"> demonstrations of noninterference with the</w:t>
      </w:r>
      <w:r w:rsidR="00707EF7">
        <w:rPr>
          <w:szCs w:val="24"/>
        </w:rPr>
        <w:t xml:space="preserve"> </w:t>
      </w:r>
      <w:r w:rsidR="00E723B5">
        <w:rPr>
          <w:szCs w:val="24"/>
        </w:rPr>
        <w:t xml:space="preserve">stricter </w:t>
      </w:r>
      <w:r w:rsidR="00707EF7">
        <w:rPr>
          <w:szCs w:val="24"/>
        </w:rPr>
        <w:t>2008 and 2015 eight-hour ozone standard</w:t>
      </w:r>
      <w:r w:rsidR="00E723B5">
        <w:rPr>
          <w:szCs w:val="24"/>
        </w:rPr>
        <w:t>s</w:t>
      </w:r>
      <w:r w:rsidR="0012443E">
        <w:rPr>
          <w:szCs w:val="24"/>
        </w:rPr>
        <w:t xml:space="preserve"> covering the 13 county I&amp;M program area with the only changes in the demonstration the I&amp;M program.</w:t>
      </w:r>
    </w:p>
    <w:p w14:paraId="17035D92" w14:textId="77777777" w:rsidR="007022A3" w:rsidRDefault="007022A3">
      <w:pPr>
        <w:spacing w:after="160" w:line="259" w:lineRule="auto"/>
        <w:rPr>
          <w:b/>
          <w:sz w:val="24"/>
          <w:szCs w:val="24"/>
        </w:rPr>
      </w:pPr>
      <w:r>
        <w:rPr>
          <w:b/>
          <w:sz w:val="24"/>
          <w:szCs w:val="24"/>
        </w:rPr>
        <w:br w:type="page"/>
      </w:r>
    </w:p>
    <w:p w14:paraId="2168CA30" w14:textId="2BA2938D" w:rsidR="002F50E5" w:rsidRPr="00074343" w:rsidRDefault="002F50E5" w:rsidP="002F50E5">
      <w:pPr>
        <w:rPr>
          <w:b/>
          <w:sz w:val="24"/>
          <w:szCs w:val="24"/>
        </w:rPr>
      </w:pPr>
      <w:r w:rsidRPr="004F68DC">
        <w:rPr>
          <w:b/>
          <w:sz w:val="24"/>
          <w:szCs w:val="24"/>
        </w:rPr>
        <w:t>APPENDIX A – Model Validation</w:t>
      </w:r>
    </w:p>
    <w:p w14:paraId="4C2152FA" w14:textId="1A82AED8" w:rsidR="002F50E5" w:rsidRDefault="009D6BF6" w:rsidP="002F50E5">
      <w:r>
        <w:rPr>
          <w:noProof/>
        </w:rPr>
        <w:drawing>
          <wp:inline distT="0" distB="0" distL="0" distR="0" wp14:anchorId="4E453A87" wp14:editId="707DCB9D">
            <wp:extent cx="5927351" cy="467551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55486" cy="4697710"/>
                    </a:xfrm>
                    <a:prstGeom prst="rect">
                      <a:avLst/>
                    </a:prstGeom>
                    <a:noFill/>
                  </pic:spPr>
                </pic:pic>
              </a:graphicData>
            </a:graphic>
          </wp:inline>
        </w:drawing>
      </w:r>
      <w:r w:rsidR="002F50E5">
        <w:br w:type="page"/>
      </w:r>
    </w:p>
    <w:p w14:paraId="35791BDC" w14:textId="77777777" w:rsidR="002F50E5" w:rsidRPr="00074343" w:rsidRDefault="002F50E5" w:rsidP="002F50E5">
      <w:pPr>
        <w:rPr>
          <w:b/>
          <w:sz w:val="24"/>
          <w:szCs w:val="24"/>
        </w:rPr>
      </w:pPr>
      <w:r w:rsidRPr="00984BDA">
        <w:rPr>
          <w:b/>
          <w:sz w:val="24"/>
          <w:szCs w:val="24"/>
        </w:rPr>
        <w:t>APPENDIX B – Socioeconomic Data for the Travel Model</w:t>
      </w:r>
    </w:p>
    <w:p w14:paraId="0AD2A0B6" w14:textId="77777777" w:rsidR="00C903F1" w:rsidRPr="00C903F1" w:rsidRDefault="00C903F1" w:rsidP="00C903F1">
      <w:pPr>
        <w:spacing w:after="160" w:line="259" w:lineRule="auto"/>
        <w:rPr>
          <w:rFonts w:eastAsiaTheme="minorHAnsi"/>
          <w:b/>
        </w:rPr>
      </w:pPr>
      <w:r w:rsidRPr="00C903F1">
        <w:rPr>
          <w:rFonts w:eastAsiaTheme="minorHAnsi"/>
          <w:b/>
        </w:rPr>
        <w:t>Forecasting and Land Use Allocation Modeling</w:t>
      </w:r>
    </w:p>
    <w:p w14:paraId="4D6C267B" w14:textId="3853CBF8" w:rsidR="00C903F1" w:rsidRPr="00C903F1" w:rsidRDefault="00C903F1" w:rsidP="00C903F1">
      <w:pPr>
        <w:spacing w:after="160" w:line="259" w:lineRule="auto"/>
        <w:rPr>
          <w:rFonts w:eastAsiaTheme="minorHAnsi"/>
        </w:rPr>
      </w:pPr>
      <w:r w:rsidRPr="00C903F1">
        <w:rPr>
          <w:rFonts w:eastAsiaTheme="minorHAnsi"/>
        </w:rPr>
        <w:t xml:space="preserve">ARC uses a two-step modeling process to develop regional control totals and small area forecasts used as inputs into our Activity Based </w:t>
      </w:r>
      <w:r w:rsidR="007566DE">
        <w:rPr>
          <w:rFonts w:eastAsiaTheme="minorHAnsi"/>
        </w:rPr>
        <w:t>Travel Demand</w:t>
      </w:r>
      <w:r w:rsidR="007566DE" w:rsidRPr="00C903F1">
        <w:rPr>
          <w:rFonts w:eastAsiaTheme="minorHAnsi"/>
        </w:rPr>
        <w:t xml:space="preserve"> </w:t>
      </w:r>
      <w:r w:rsidR="007566DE">
        <w:rPr>
          <w:rFonts w:eastAsiaTheme="minorHAnsi"/>
        </w:rPr>
        <w:t>M</w:t>
      </w:r>
      <w:r w:rsidR="007566DE" w:rsidRPr="00C903F1">
        <w:rPr>
          <w:rFonts w:eastAsiaTheme="minorHAnsi"/>
        </w:rPr>
        <w:t>odel</w:t>
      </w:r>
      <w:r w:rsidRPr="00C903F1">
        <w:rPr>
          <w:rFonts w:eastAsiaTheme="minorHAnsi"/>
        </w:rPr>
        <w:t xml:space="preserve">. These models include an econometric model (REMI) that uses a national forecast that is </w:t>
      </w:r>
      <w:proofErr w:type="gramStart"/>
      <w:r w:rsidRPr="00C903F1">
        <w:rPr>
          <w:rFonts w:eastAsiaTheme="minorHAnsi"/>
        </w:rPr>
        <w:t>shared out</w:t>
      </w:r>
      <w:proofErr w:type="gramEnd"/>
      <w:r w:rsidRPr="00C903F1">
        <w:rPr>
          <w:rFonts w:eastAsiaTheme="minorHAnsi"/>
        </w:rPr>
        <w:t xml:space="preserve"> to each county in the nation. We then use an “agent” model (PECAS) that simulates future location of activities and the development of space by developers. More information about these two models </w:t>
      </w:r>
      <w:proofErr w:type="gramStart"/>
      <w:r w:rsidRPr="00C903F1">
        <w:rPr>
          <w:rFonts w:eastAsiaTheme="minorHAnsi"/>
        </w:rPr>
        <w:t>are</w:t>
      </w:r>
      <w:proofErr w:type="gramEnd"/>
      <w:r w:rsidRPr="00C903F1">
        <w:rPr>
          <w:rFonts w:eastAsiaTheme="minorHAnsi"/>
        </w:rPr>
        <w:t xml:space="preserve"> below.</w:t>
      </w:r>
    </w:p>
    <w:p w14:paraId="490D17A5" w14:textId="77777777" w:rsidR="00C903F1" w:rsidRPr="00C903F1" w:rsidRDefault="00C903F1" w:rsidP="00C903F1">
      <w:pPr>
        <w:spacing w:after="160" w:line="259" w:lineRule="auto"/>
        <w:rPr>
          <w:rFonts w:eastAsiaTheme="minorHAnsi"/>
        </w:rPr>
      </w:pPr>
      <w:r w:rsidRPr="00C903F1">
        <w:rPr>
          <w:rFonts w:eastAsiaTheme="minorHAnsi"/>
        </w:rPr>
        <w:t xml:space="preserve">Prior to beginning the </w:t>
      </w:r>
      <w:proofErr w:type="gramStart"/>
      <w:r w:rsidRPr="00C903F1">
        <w:rPr>
          <w:rFonts w:eastAsiaTheme="minorHAnsi"/>
        </w:rPr>
        <w:t>technical,</w:t>
      </w:r>
      <w:proofErr w:type="gramEnd"/>
      <w:r w:rsidRPr="00C903F1">
        <w:rPr>
          <w:rFonts w:eastAsiaTheme="minorHAnsi"/>
        </w:rPr>
        <w:t xml:space="preserve"> modeling work, however, ARC starts with a Technical Advisory Committee (TAC) that reviews the assumptions and calibrations that are inherent in our econometric model. The TAC consisted of leading local economists who advised us on different scenarios we could test through the REMI model that offered more realistic assumptions and reasonable outcomes of the local economy. Based on this feedback, we modified the standard REMI model output to include different projections of labor force participation rates, and we also adjusted the early years of the model to reflect ARC’s population estimates rather than REMI-generated estimates based on forecasts. This resulted in several different scenarios that created a lower bound forecast range, and mid-range and, finally an upper bound forecast range. After four meetings and several runs of the model, the TAC chose the mid-range scenario as the region’s control total, which is a population of 8.6 million in the 21-county area by the year 2050.</w:t>
      </w:r>
    </w:p>
    <w:p w14:paraId="46961B63" w14:textId="77777777" w:rsidR="00C903F1" w:rsidRDefault="00C903F1" w:rsidP="00C903F1">
      <w:pPr>
        <w:spacing w:after="160" w:line="259" w:lineRule="auto"/>
        <w:rPr>
          <w:rFonts w:eastAsiaTheme="minorHAnsi"/>
        </w:rPr>
      </w:pPr>
      <w:r w:rsidRPr="00C903F1">
        <w:rPr>
          <w:rFonts w:eastAsiaTheme="minorHAnsi"/>
        </w:rPr>
        <w:t xml:space="preserve">Here are other initial findings from our </w:t>
      </w:r>
      <w:r w:rsidRPr="00C903F1">
        <w:rPr>
          <w:rFonts w:eastAsiaTheme="minorHAnsi"/>
          <w:b/>
          <w:i/>
          <w:u w:val="single"/>
        </w:rPr>
        <w:t>DRAFT</w:t>
      </w:r>
      <w:r w:rsidRPr="00C903F1">
        <w:rPr>
          <w:rFonts w:eastAsiaTheme="minorHAnsi"/>
        </w:rPr>
        <w:t xml:space="preserve"> Series 16 forecasts:</w:t>
      </w:r>
      <w:r w:rsidRPr="00C903F1">
        <w:rPr>
          <w:rFonts w:eastAsiaTheme="minorHAnsi"/>
        </w:rPr>
        <w:br/>
      </w:r>
    </w:p>
    <w:p w14:paraId="3CD65E72" w14:textId="301F94A4" w:rsidR="00C903F1" w:rsidRPr="00C903F1" w:rsidRDefault="00C903F1" w:rsidP="00C903F1">
      <w:pPr>
        <w:spacing w:after="160" w:line="259" w:lineRule="auto"/>
        <w:rPr>
          <w:rFonts w:eastAsiaTheme="minorHAnsi"/>
        </w:rPr>
      </w:pPr>
      <w:r w:rsidRPr="00C903F1">
        <w:rPr>
          <w:rFonts w:eastAsiaTheme="minorHAnsi"/>
        </w:rPr>
        <w:t>We are forecasting the region to add approximately 2.9 million new residents and close to 1.2 million more jobs between 2015 and 2050. See Figure 1 below.</w:t>
      </w:r>
    </w:p>
    <w:p w14:paraId="11A96D25" w14:textId="77777777" w:rsidR="00C903F1" w:rsidRDefault="00C903F1" w:rsidP="00C903F1">
      <w:pPr>
        <w:spacing w:after="160" w:line="259" w:lineRule="auto"/>
        <w:rPr>
          <w:rFonts w:eastAsiaTheme="minorHAnsi"/>
          <w:b/>
        </w:rPr>
      </w:pPr>
    </w:p>
    <w:p w14:paraId="6B7E8FCF" w14:textId="77777777" w:rsidR="00C903F1" w:rsidRDefault="00C903F1" w:rsidP="00C903F1">
      <w:pPr>
        <w:spacing w:after="160" w:line="259" w:lineRule="auto"/>
        <w:rPr>
          <w:rFonts w:eastAsiaTheme="minorHAnsi"/>
          <w:b/>
        </w:rPr>
      </w:pPr>
    </w:p>
    <w:p w14:paraId="086D88E4" w14:textId="77777777" w:rsidR="00C903F1" w:rsidRDefault="00C903F1" w:rsidP="00C903F1">
      <w:pPr>
        <w:spacing w:after="160" w:line="259" w:lineRule="auto"/>
        <w:rPr>
          <w:rFonts w:eastAsiaTheme="minorHAnsi"/>
          <w:b/>
        </w:rPr>
      </w:pPr>
    </w:p>
    <w:p w14:paraId="658058BA" w14:textId="77777777" w:rsidR="00C903F1" w:rsidRDefault="00C903F1" w:rsidP="00C903F1">
      <w:pPr>
        <w:spacing w:after="160" w:line="259" w:lineRule="auto"/>
        <w:rPr>
          <w:rFonts w:eastAsiaTheme="minorHAnsi"/>
          <w:b/>
        </w:rPr>
      </w:pPr>
    </w:p>
    <w:p w14:paraId="22E0AF5D" w14:textId="77777777" w:rsidR="00C903F1" w:rsidRDefault="00C903F1" w:rsidP="00C903F1">
      <w:pPr>
        <w:spacing w:after="160" w:line="259" w:lineRule="auto"/>
        <w:rPr>
          <w:rFonts w:eastAsiaTheme="minorHAnsi"/>
          <w:b/>
        </w:rPr>
      </w:pPr>
    </w:p>
    <w:p w14:paraId="41B6FEC8" w14:textId="77777777" w:rsidR="00C903F1" w:rsidRDefault="00C903F1" w:rsidP="00C903F1">
      <w:pPr>
        <w:spacing w:after="160" w:line="259" w:lineRule="auto"/>
        <w:rPr>
          <w:rFonts w:eastAsiaTheme="minorHAnsi"/>
          <w:b/>
        </w:rPr>
      </w:pPr>
    </w:p>
    <w:p w14:paraId="07D71FC8" w14:textId="77777777" w:rsidR="00C903F1" w:rsidRDefault="00C903F1" w:rsidP="00C903F1">
      <w:pPr>
        <w:spacing w:after="160" w:line="259" w:lineRule="auto"/>
        <w:rPr>
          <w:rFonts w:eastAsiaTheme="minorHAnsi"/>
          <w:b/>
        </w:rPr>
      </w:pPr>
    </w:p>
    <w:p w14:paraId="6789182E" w14:textId="77777777" w:rsidR="00C903F1" w:rsidRDefault="00C903F1" w:rsidP="00C903F1">
      <w:pPr>
        <w:spacing w:after="160" w:line="259" w:lineRule="auto"/>
        <w:rPr>
          <w:rFonts w:eastAsiaTheme="minorHAnsi"/>
          <w:b/>
        </w:rPr>
      </w:pPr>
    </w:p>
    <w:p w14:paraId="4C02ACAF" w14:textId="77777777" w:rsidR="00C903F1" w:rsidRDefault="00C903F1" w:rsidP="00C903F1">
      <w:pPr>
        <w:spacing w:after="160" w:line="259" w:lineRule="auto"/>
        <w:rPr>
          <w:rFonts w:eastAsiaTheme="minorHAnsi"/>
          <w:b/>
        </w:rPr>
      </w:pPr>
    </w:p>
    <w:p w14:paraId="3FB16D21" w14:textId="77777777" w:rsidR="00C903F1" w:rsidRDefault="00C903F1" w:rsidP="00C903F1">
      <w:pPr>
        <w:spacing w:after="160" w:line="259" w:lineRule="auto"/>
        <w:rPr>
          <w:rFonts w:eastAsiaTheme="minorHAnsi"/>
          <w:b/>
        </w:rPr>
      </w:pPr>
    </w:p>
    <w:p w14:paraId="67256F57" w14:textId="77777777" w:rsidR="00C903F1" w:rsidRDefault="00C903F1" w:rsidP="00C903F1">
      <w:pPr>
        <w:spacing w:after="160" w:line="259" w:lineRule="auto"/>
        <w:rPr>
          <w:rFonts w:eastAsiaTheme="minorHAnsi"/>
          <w:b/>
        </w:rPr>
      </w:pPr>
    </w:p>
    <w:p w14:paraId="40798C71" w14:textId="77777777" w:rsidR="00C903F1" w:rsidRDefault="00C903F1" w:rsidP="00C903F1">
      <w:pPr>
        <w:spacing w:after="160" w:line="259" w:lineRule="auto"/>
        <w:rPr>
          <w:rFonts w:eastAsiaTheme="minorHAnsi"/>
          <w:b/>
        </w:rPr>
      </w:pPr>
    </w:p>
    <w:p w14:paraId="06F20F43" w14:textId="222D5744" w:rsidR="00C903F1" w:rsidRPr="00C903F1" w:rsidRDefault="00C903F1" w:rsidP="00C903F1">
      <w:pPr>
        <w:spacing w:after="160" w:line="259" w:lineRule="auto"/>
        <w:rPr>
          <w:rFonts w:eastAsiaTheme="minorHAnsi"/>
          <w:b/>
        </w:rPr>
      </w:pPr>
      <w:r w:rsidRPr="00C903F1">
        <w:rPr>
          <w:rFonts w:eastAsiaTheme="minorHAnsi"/>
          <w:b/>
        </w:rPr>
        <w:t>Figure 1. Forecast Population and Employment Change, 2015-2050</w:t>
      </w:r>
    </w:p>
    <w:p w14:paraId="0F403AA2" w14:textId="77777777" w:rsidR="00C903F1" w:rsidRPr="00C903F1" w:rsidRDefault="00C903F1" w:rsidP="00C903F1">
      <w:pPr>
        <w:spacing w:after="160" w:line="259" w:lineRule="auto"/>
        <w:rPr>
          <w:rFonts w:eastAsiaTheme="minorHAnsi"/>
          <w:b/>
        </w:rPr>
      </w:pPr>
    </w:p>
    <w:p w14:paraId="2E1622A8" w14:textId="77777777" w:rsidR="00C903F1" w:rsidRPr="00C903F1" w:rsidRDefault="00C903F1" w:rsidP="00C903F1">
      <w:pPr>
        <w:spacing w:after="160" w:line="259" w:lineRule="auto"/>
        <w:rPr>
          <w:rFonts w:eastAsiaTheme="minorHAnsi"/>
          <w:b/>
        </w:rPr>
      </w:pPr>
      <w:r w:rsidRPr="00C903F1">
        <w:rPr>
          <w:rFonts w:eastAsiaTheme="minorHAnsi"/>
          <w:noProof/>
        </w:rPr>
        <w:drawing>
          <wp:inline distT="0" distB="0" distL="0" distR="0" wp14:anchorId="7BD41731" wp14:editId="128A9DBB">
            <wp:extent cx="6076950" cy="3228975"/>
            <wp:effectExtent l="0" t="0" r="0" b="9525"/>
            <wp:docPr id="4" name="Chart 4">
              <a:extLst xmlns:a="http://schemas.openxmlformats.org/drawingml/2006/main">
                <a:ext uri="{FF2B5EF4-FFF2-40B4-BE49-F238E27FC236}">
                  <a16:creationId xmlns:a16="http://schemas.microsoft.com/office/drawing/2014/main" id="{A1115FDB-0C42-445A-B864-2F0025F9654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23C5DA7" w14:textId="77777777" w:rsidR="00C903F1" w:rsidRPr="00C903F1" w:rsidRDefault="00C903F1" w:rsidP="00C903F1">
      <w:pPr>
        <w:spacing w:after="160" w:line="259" w:lineRule="auto"/>
        <w:rPr>
          <w:rFonts w:eastAsiaTheme="minorHAnsi"/>
        </w:rPr>
      </w:pPr>
      <w:r w:rsidRPr="00C903F1">
        <w:rPr>
          <w:rFonts w:eastAsiaTheme="minorHAnsi"/>
        </w:rPr>
        <w:t>As with previous forecast series, our current Series 16 draft is forecasting a significant reduction in the overall share of White population between 2015 and 2050. See figure 2 below.</w:t>
      </w:r>
    </w:p>
    <w:p w14:paraId="00E18240" w14:textId="77777777" w:rsidR="00C903F1" w:rsidRPr="00C903F1" w:rsidRDefault="00C903F1" w:rsidP="00C903F1">
      <w:pPr>
        <w:spacing w:after="160" w:line="259" w:lineRule="auto"/>
        <w:rPr>
          <w:rFonts w:eastAsiaTheme="minorHAnsi"/>
          <w:b/>
        </w:rPr>
      </w:pPr>
      <w:r w:rsidRPr="00C903F1">
        <w:rPr>
          <w:rFonts w:eastAsiaTheme="minorHAnsi"/>
          <w:b/>
        </w:rPr>
        <w:t>Figure 2. Share of Population by Race/Ethnicity</w:t>
      </w:r>
    </w:p>
    <w:p w14:paraId="664E75AA" w14:textId="77777777" w:rsidR="00C903F1" w:rsidRPr="00C903F1" w:rsidRDefault="00C903F1" w:rsidP="00C903F1">
      <w:pPr>
        <w:spacing w:after="160" w:line="259" w:lineRule="auto"/>
        <w:rPr>
          <w:rFonts w:eastAsiaTheme="minorHAnsi"/>
        </w:rPr>
      </w:pPr>
      <w:r w:rsidRPr="00C903F1">
        <w:rPr>
          <w:rFonts w:eastAsiaTheme="minorHAnsi"/>
          <w:noProof/>
        </w:rPr>
        <w:drawing>
          <wp:inline distT="0" distB="0" distL="0" distR="0" wp14:anchorId="6AD1BAC4" wp14:editId="0AF6D503">
            <wp:extent cx="5943600" cy="3511550"/>
            <wp:effectExtent l="0" t="0" r="0" b="12700"/>
            <wp:docPr id="1" name="Chart 1">
              <a:extLst xmlns:a="http://schemas.openxmlformats.org/drawingml/2006/main">
                <a:ext uri="{FF2B5EF4-FFF2-40B4-BE49-F238E27FC236}">
                  <a16:creationId xmlns:a16="http://schemas.microsoft.com/office/drawing/2014/main" id="{FA8AA03B-FDBD-4141-89BB-FF38CCBC06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B04DF3C" w14:textId="77777777" w:rsidR="00C903F1" w:rsidRPr="00C903F1" w:rsidRDefault="00C903F1" w:rsidP="00C903F1">
      <w:pPr>
        <w:spacing w:after="160" w:line="259" w:lineRule="auto"/>
        <w:rPr>
          <w:rFonts w:eastAsiaTheme="minorHAnsi"/>
        </w:rPr>
      </w:pPr>
    </w:p>
    <w:p w14:paraId="34F4FC5B" w14:textId="77777777" w:rsidR="00C903F1" w:rsidRPr="00C903F1" w:rsidRDefault="00C903F1" w:rsidP="00C903F1">
      <w:pPr>
        <w:spacing w:after="160" w:line="259" w:lineRule="auto"/>
        <w:rPr>
          <w:rFonts w:eastAsiaTheme="minorHAnsi"/>
        </w:rPr>
      </w:pPr>
      <w:r w:rsidRPr="00C903F1">
        <w:rPr>
          <w:rFonts w:eastAsiaTheme="minorHAnsi"/>
        </w:rPr>
        <w:t>Again, in line with previous forecasts, our current Series 16 draft is also forecasting a tremendous increase in the share of 75+ population between 2015-2015.  But please note – these are SHARE changes, not total population changes. So even though we are showing a reduction in the SHARE of those age 0-22, the actual population of that age cohort increases. See figure 3 below.</w:t>
      </w:r>
    </w:p>
    <w:p w14:paraId="3581F6C4" w14:textId="77777777" w:rsidR="00C903F1" w:rsidRPr="00C903F1" w:rsidRDefault="00C903F1" w:rsidP="00C903F1">
      <w:pPr>
        <w:spacing w:after="160" w:line="259" w:lineRule="auto"/>
        <w:rPr>
          <w:rFonts w:eastAsiaTheme="minorHAnsi"/>
          <w:b/>
        </w:rPr>
      </w:pPr>
      <w:r w:rsidRPr="00C903F1">
        <w:rPr>
          <w:rFonts w:eastAsiaTheme="minorHAnsi"/>
          <w:b/>
        </w:rPr>
        <w:br w:type="page"/>
      </w:r>
    </w:p>
    <w:p w14:paraId="55E49086" w14:textId="77777777" w:rsidR="00C903F1" w:rsidRPr="00C903F1" w:rsidRDefault="00C903F1" w:rsidP="00C903F1">
      <w:pPr>
        <w:spacing w:after="160" w:line="259" w:lineRule="auto"/>
        <w:rPr>
          <w:rFonts w:eastAsiaTheme="minorHAnsi"/>
          <w:b/>
        </w:rPr>
      </w:pPr>
      <w:r w:rsidRPr="00C903F1">
        <w:rPr>
          <w:rFonts w:eastAsiaTheme="minorHAnsi"/>
          <w:b/>
        </w:rPr>
        <w:t>Figure 3. Age Structure</w:t>
      </w:r>
    </w:p>
    <w:p w14:paraId="3C893DEB" w14:textId="77777777" w:rsidR="00C903F1" w:rsidRPr="00C903F1" w:rsidRDefault="00C903F1" w:rsidP="00C903F1">
      <w:pPr>
        <w:spacing w:after="160" w:line="259" w:lineRule="auto"/>
        <w:rPr>
          <w:rFonts w:eastAsiaTheme="minorHAnsi"/>
        </w:rPr>
      </w:pPr>
      <w:r w:rsidRPr="00C903F1">
        <w:rPr>
          <w:rFonts w:eastAsiaTheme="minorHAnsi"/>
          <w:noProof/>
        </w:rPr>
        <w:drawing>
          <wp:inline distT="0" distB="0" distL="0" distR="0" wp14:anchorId="3A568578" wp14:editId="244B1AF9">
            <wp:extent cx="5943600" cy="3074035"/>
            <wp:effectExtent l="0" t="0" r="0" b="12065"/>
            <wp:docPr id="7" name="Chart 7">
              <a:extLst xmlns:a="http://schemas.openxmlformats.org/drawingml/2006/main">
                <a:ext uri="{FF2B5EF4-FFF2-40B4-BE49-F238E27FC236}">
                  <a16:creationId xmlns:a16="http://schemas.microsoft.com/office/drawing/2014/main" id="{88F3F227-B216-4464-854C-9AF357AFC92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8194705" w14:textId="77777777" w:rsidR="00C903F1" w:rsidRPr="00C903F1" w:rsidRDefault="00C903F1" w:rsidP="00C903F1">
      <w:pPr>
        <w:spacing w:after="160" w:line="259" w:lineRule="auto"/>
        <w:rPr>
          <w:rFonts w:eastAsiaTheme="minorHAnsi"/>
        </w:rPr>
      </w:pPr>
      <w:r w:rsidRPr="00C903F1">
        <w:rPr>
          <w:rFonts w:eastAsiaTheme="minorHAnsi"/>
        </w:rPr>
        <w:t>Finally, and again consistent with previous forecasting series, our current Series 16 draft is forecasting that the “Health Care and Social Assistance” sector will the most jobs between 2015 and 2050. See Figure 4 below.</w:t>
      </w:r>
    </w:p>
    <w:p w14:paraId="7CC6852C" w14:textId="77777777" w:rsidR="00C903F1" w:rsidRPr="00C903F1" w:rsidRDefault="00C903F1" w:rsidP="00C903F1">
      <w:pPr>
        <w:spacing w:after="160" w:line="259" w:lineRule="auto"/>
        <w:rPr>
          <w:rFonts w:eastAsiaTheme="minorHAnsi"/>
          <w:b/>
        </w:rPr>
      </w:pPr>
      <w:r w:rsidRPr="00C903F1">
        <w:rPr>
          <w:rFonts w:eastAsiaTheme="minorHAnsi"/>
          <w:b/>
        </w:rPr>
        <w:br w:type="page"/>
      </w:r>
    </w:p>
    <w:p w14:paraId="66EFDAA6" w14:textId="77777777" w:rsidR="00C903F1" w:rsidRPr="00C903F1" w:rsidRDefault="00C903F1" w:rsidP="00C903F1">
      <w:pPr>
        <w:spacing w:after="160" w:line="259" w:lineRule="auto"/>
        <w:rPr>
          <w:rFonts w:eastAsiaTheme="minorHAnsi"/>
          <w:b/>
        </w:rPr>
      </w:pPr>
      <w:r w:rsidRPr="00C903F1">
        <w:rPr>
          <w:rFonts w:eastAsiaTheme="minorHAnsi"/>
          <w:b/>
        </w:rPr>
        <w:t>Figure 4. 60 Years of Employment Change: 1990-2050</w:t>
      </w:r>
    </w:p>
    <w:p w14:paraId="1AA40147" w14:textId="77777777" w:rsidR="00C903F1" w:rsidRPr="00C903F1" w:rsidRDefault="00C903F1" w:rsidP="00C903F1">
      <w:pPr>
        <w:spacing w:after="160" w:line="259" w:lineRule="auto"/>
        <w:rPr>
          <w:rFonts w:eastAsiaTheme="minorHAnsi"/>
        </w:rPr>
      </w:pPr>
      <w:r w:rsidRPr="00C903F1">
        <w:rPr>
          <w:rFonts w:eastAsiaTheme="minorHAnsi"/>
          <w:noProof/>
        </w:rPr>
        <w:drawing>
          <wp:anchor distT="0" distB="0" distL="114300" distR="114300" simplePos="0" relativeHeight="251659264" behindDoc="0" locked="0" layoutInCell="1" allowOverlap="1" wp14:anchorId="705675C8" wp14:editId="3FF163C1">
            <wp:simplePos x="0" y="0"/>
            <wp:positionH relativeFrom="margin">
              <wp:align>center</wp:align>
            </wp:positionH>
            <wp:positionV relativeFrom="paragraph">
              <wp:posOffset>180340</wp:posOffset>
            </wp:positionV>
            <wp:extent cx="7143750" cy="4495800"/>
            <wp:effectExtent l="0" t="0" r="0" b="0"/>
            <wp:wrapSquare wrapText="bothSides"/>
            <wp:docPr id="3" name="Chart 3">
              <a:extLst xmlns:a="http://schemas.openxmlformats.org/drawingml/2006/main">
                <a:ext uri="{FF2B5EF4-FFF2-40B4-BE49-F238E27FC236}">
                  <a16:creationId xmlns:a16="http://schemas.microsoft.com/office/drawing/2014/main" id="{00831008-23C2-4171-A0E9-FC32B53BACA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V relativeFrom="margin">
              <wp14:pctHeight>0</wp14:pctHeight>
            </wp14:sizeRelV>
          </wp:anchor>
        </w:drawing>
      </w:r>
    </w:p>
    <w:p w14:paraId="20D1B4A5" w14:textId="77777777" w:rsidR="00C903F1" w:rsidRPr="00C903F1" w:rsidRDefault="00C903F1" w:rsidP="00C903F1">
      <w:pPr>
        <w:spacing w:after="160" w:line="259" w:lineRule="auto"/>
        <w:rPr>
          <w:rFonts w:eastAsiaTheme="minorHAnsi"/>
        </w:rPr>
      </w:pPr>
    </w:p>
    <w:p w14:paraId="280BEC18" w14:textId="77777777" w:rsidR="00C903F1" w:rsidRPr="00C903F1" w:rsidRDefault="00C903F1" w:rsidP="00C903F1">
      <w:pPr>
        <w:spacing w:after="160" w:line="259" w:lineRule="auto"/>
        <w:rPr>
          <w:rFonts w:eastAsiaTheme="minorHAnsi"/>
          <w:b/>
        </w:rPr>
      </w:pPr>
      <w:r w:rsidRPr="00C903F1">
        <w:rPr>
          <w:rFonts w:eastAsiaTheme="minorHAnsi"/>
          <w:b/>
        </w:rPr>
        <w:t>REMI</w:t>
      </w:r>
    </w:p>
    <w:p w14:paraId="6C6D1980" w14:textId="77777777" w:rsidR="00C903F1" w:rsidRPr="00C903F1" w:rsidRDefault="00C903F1" w:rsidP="00C903F1">
      <w:pPr>
        <w:spacing w:after="160" w:line="259" w:lineRule="auto"/>
        <w:rPr>
          <w:rFonts w:eastAsiaTheme="minorHAnsi"/>
        </w:rPr>
      </w:pPr>
      <w:r w:rsidRPr="00C903F1">
        <w:rPr>
          <w:rFonts w:eastAsiaTheme="minorHAnsi"/>
        </w:rPr>
        <w:t>The REMI model (Regional Economic Models, Inc.) is a very widely used regional economic policy analysis model. The model is used by government agencies on the national, state, and local level, as well as by private consulting firms, utilities, and universities. REMI is a structural economic forecasting and policy analysis model. It integrates input output, computable general equilibrium, econometric, and economic geography methodologies. The model is dynamic, with forecasts and simulations generated on an annual basis and behavioral responses to wage, price, and other economic factors.</w:t>
      </w:r>
    </w:p>
    <w:p w14:paraId="307839F7" w14:textId="77777777" w:rsidR="00C903F1" w:rsidRPr="00C903F1" w:rsidRDefault="00C903F1" w:rsidP="00C903F1">
      <w:pPr>
        <w:spacing w:after="160" w:line="259" w:lineRule="auto"/>
        <w:rPr>
          <w:rFonts w:eastAsiaTheme="minorHAnsi"/>
        </w:rPr>
      </w:pPr>
    </w:p>
    <w:p w14:paraId="0F5472F4" w14:textId="77777777" w:rsidR="00C903F1" w:rsidRPr="00C903F1" w:rsidRDefault="00C903F1" w:rsidP="00C903F1">
      <w:pPr>
        <w:spacing w:after="160" w:line="259" w:lineRule="auto"/>
        <w:rPr>
          <w:rFonts w:eastAsiaTheme="minorHAnsi"/>
          <w:b/>
        </w:rPr>
      </w:pPr>
      <w:r w:rsidRPr="00C903F1">
        <w:rPr>
          <w:rFonts w:eastAsiaTheme="minorHAnsi"/>
          <w:b/>
        </w:rPr>
        <w:br w:type="page"/>
      </w:r>
    </w:p>
    <w:p w14:paraId="35CAB34A" w14:textId="77777777" w:rsidR="00C903F1" w:rsidRPr="00C903F1" w:rsidRDefault="00C903F1" w:rsidP="00C903F1">
      <w:pPr>
        <w:spacing w:after="160" w:line="259" w:lineRule="auto"/>
        <w:rPr>
          <w:rFonts w:eastAsiaTheme="minorHAnsi"/>
          <w:b/>
        </w:rPr>
      </w:pPr>
      <w:r w:rsidRPr="00C903F1">
        <w:rPr>
          <w:rFonts w:eastAsiaTheme="minorHAnsi"/>
          <w:b/>
        </w:rPr>
        <w:t>PECAS for Small Area Forecasting (Land Use Allocation)</w:t>
      </w:r>
    </w:p>
    <w:p w14:paraId="3C4CDDA6" w14:textId="77777777" w:rsidR="00C903F1" w:rsidRPr="00C903F1" w:rsidRDefault="00C903F1" w:rsidP="00C903F1">
      <w:pPr>
        <w:spacing w:after="160" w:line="259" w:lineRule="auto"/>
        <w:rPr>
          <w:rFonts w:eastAsiaTheme="minorHAnsi"/>
        </w:rPr>
      </w:pPr>
      <w:r w:rsidRPr="00C903F1">
        <w:rPr>
          <w:rFonts w:eastAsiaTheme="minorHAnsi"/>
        </w:rPr>
        <w:t xml:space="preserve">ARC reviewed state-of-the art land use models, to allocate the forecast population and employment totals to small areas, between 2007 and 2008 and selected PECAS (Production Exchange Consumption Allocation System). PECAS’ main purpose is to simulate the future location of activities (industries, </w:t>
      </w:r>
      <w:proofErr w:type="gramStart"/>
      <w:r w:rsidRPr="00C903F1">
        <w:rPr>
          <w:rFonts w:eastAsiaTheme="minorHAnsi"/>
        </w:rPr>
        <w:t>households</w:t>
      </w:r>
      <w:proofErr w:type="gramEnd"/>
      <w:r w:rsidRPr="00C903F1">
        <w:rPr>
          <w:rFonts w:eastAsiaTheme="minorHAnsi"/>
        </w:rPr>
        <w:t xml:space="preserve"> and government), and the development of space by developers, for both forecasting and policy analysis. It has been used in the conformity process for the first time in 2015.</w:t>
      </w:r>
    </w:p>
    <w:p w14:paraId="0975B02E" w14:textId="01C4AE1B" w:rsidR="00C903F1" w:rsidRPr="00C903F1" w:rsidRDefault="00C903F1" w:rsidP="00C903F1">
      <w:pPr>
        <w:spacing w:after="160" w:line="259" w:lineRule="auto"/>
        <w:rPr>
          <w:rFonts w:eastAsiaTheme="minorHAnsi"/>
        </w:rPr>
      </w:pPr>
      <w:r w:rsidRPr="00C903F1">
        <w:rPr>
          <w:rFonts w:eastAsiaTheme="minorHAnsi"/>
        </w:rPr>
        <w:t xml:space="preserve">The ARC PECAS model includes the two standard PECAS modules: The Activity Allocation module (AA) and the Space Development module (SD). AA follows an aggregate approach and represents how and why industries, government and households choose to locate in different zones or locations in the region. SD follows a microsimulation approach and simulates development at the parcel level, considering developers’ profit-motivated behavior as well as land and market characteristics. These two modules interact with each other, and both also interact with the Atlanta transport model by providing it with land use data. The </w:t>
      </w:r>
      <w:r w:rsidR="009C605B">
        <w:rPr>
          <w:rFonts w:eastAsiaTheme="minorHAnsi"/>
        </w:rPr>
        <w:t>travel demand</w:t>
      </w:r>
      <w:r w:rsidR="009C605B" w:rsidRPr="00C903F1">
        <w:rPr>
          <w:rFonts w:eastAsiaTheme="minorHAnsi"/>
        </w:rPr>
        <w:t xml:space="preserve"> </w:t>
      </w:r>
      <w:r w:rsidRPr="00C903F1">
        <w:rPr>
          <w:rFonts w:eastAsiaTheme="minorHAnsi"/>
        </w:rPr>
        <w:t>model, in turn, provides an indication of travel conditions for use in AA.</w:t>
      </w:r>
    </w:p>
    <w:p w14:paraId="02F493BB" w14:textId="77777777" w:rsidR="00C903F1" w:rsidRPr="00C903F1" w:rsidRDefault="00C903F1" w:rsidP="00C903F1">
      <w:pPr>
        <w:spacing w:after="160" w:line="259" w:lineRule="auto"/>
        <w:rPr>
          <w:rFonts w:eastAsiaTheme="minorHAnsi"/>
        </w:rPr>
      </w:pPr>
    </w:p>
    <w:p w14:paraId="320C22A6" w14:textId="77777777" w:rsidR="007022A3" w:rsidRDefault="007022A3">
      <w:pPr>
        <w:spacing w:after="160" w:line="259" w:lineRule="auto"/>
        <w:rPr>
          <w:b/>
          <w:sz w:val="24"/>
          <w:szCs w:val="24"/>
        </w:rPr>
      </w:pPr>
      <w:r>
        <w:rPr>
          <w:b/>
          <w:sz w:val="24"/>
          <w:szCs w:val="24"/>
        </w:rPr>
        <w:br w:type="page"/>
      </w:r>
    </w:p>
    <w:p w14:paraId="02201C7E" w14:textId="6610EACA" w:rsidR="002F50E5" w:rsidRPr="00074343" w:rsidRDefault="002F50E5" w:rsidP="002F50E5">
      <w:pPr>
        <w:rPr>
          <w:b/>
          <w:sz w:val="24"/>
          <w:szCs w:val="24"/>
        </w:rPr>
      </w:pPr>
      <w:r w:rsidRPr="00283232">
        <w:rPr>
          <w:b/>
          <w:sz w:val="24"/>
          <w:szCs w:val="24"/>
        </w:rPr>
        <w:t>APPENDIX C – Model Inputs</w:t>
      </w:r>
    </w:p>
    <w:p w14:paraId="24F1ADB2" w14:textId="77777777" w:rsidR="002F50E5" w:rsidRPr="004F68DC" w:rsidRDefault="002F50E5" w:rsidP="002F50E5">
      <w:r w:rsidRPr="004F68DC">
        <w:t xml:space="preserve">In </w:t>
      </w:r>
      <w:r>
        <w:t>2016</w:t>
      </w:r>
      <w:r w:rsidRPr="004F68DC">
        <w:t>, ARC switched from its 4-step trip-based aggregate regional travel demand model to its newly developed, and recently calibrated disaggregate activity-based model (ABM).  The ABM now serves as the major travel forecasting tool in the ARC region.  This model has been developed to ensure that the regional transportation planning process can rely on forecasting tools that will be adequate for new socioeconomic environments and emerging planning challenges.  It is equally suitable for conventional highway projects, transit projects, and various policy studies such as highway pricing and HOV / HOT analysis.  The ARC ABM is based on the CT-RAMP (Coordinated Travel Regional Activity-Based Modeling Platform) family of Activity-Based Models.  This model system is an advanced, but operational, AB model that fits the needs and planning processes of ARC</w:t>
      </w:r>
      <w:r>
        <w:t>.</w:t>
      </w:r>
    </w:p>
    <w:p w14:paraId="66A147AD" w14:textId="69A79C27" w:rsidR="002F50E5" w:rsidRDefault="002F50E5" w:rsidP="002F50E5">
      <w:r w:rsidRPr="004F68DC">
        <w:t xml:space="preserve">The ABM has been tailored specifically to meet ARC planning needs, considering current and future projects and </w:t>
      </w:r>
      <w:proofErr w:type="gramStart"/>
      <w:r w:rsidRPr="004F68DC">
        <w:t>policies</w:t>
      </w:r>
      <w:proofErr w:type="gramEnd"/>
      <w:r w:rsidRPr="004F68DC">
        <w:t xml:space="preserve"> </w:t>
      </w:r>
      <w:r w:rsidR="00597693" w:rsidRPr="004F68DC">
        <w:t>and</w:t>
      </w:r>
      <w:r w:rsidRPr="004F68DC">
        <w:t xml:space="preserve"> </w:t>
      </w:r>
      <w:r w:rsidR="00423385" w:rsidRPr="004F68DC">
        <w:t>considering</w:t>
      </w:r>
      <w:r w:rsidRPr="004F68DC">
        <w:t xml:space="preserve"> the special market segments that exist in the Atlanta region.  The model system </w:t>
      </w:r>
      <w:r w:rsidRPr="004F68DC">
        <w:rPr>
          <w:bCs/>
        </w:rPr>
        <w:t>addresses requirements of the metropolitan planning process, relevant federal requirements, and provides support to ARC member agencies and other stakeholders.</w:t>
      </w:r>
    </w:p>
    <w:p w14:paraId="5447A9AA" w14:textId="71580072" w:rsidR="002F50E5" w:rsidRPr="006B4FFD" w:rsidRDefault="002F50E5" w:rsidP="002F50E5">
      <w:pPr>
        <w:pStyle w:val="NoSpacing"/>
        <w:numPr>
          <w:ilvl w:val="0"/>
          <w:numId w:val="5"/>
        </w:numPr>
        <w:ind w:left="360"/>
      </w:pPr>
      <w:r w:rsidRPr="005537E4">
        <w:t xml:space="preserve">Calibration </w:t>
      </w:r>
      <w:r>
        <w:t>Year</w:t>
      </w:r>
      <w:r w:rsidRPr="006B4FFD">
        <w:t xml:space="preserve">: </w:t>
      </w:r>
      <w:r w:rsidR="00E6237C">
        <w:t>2015</w:t>
      </w:r>
    </w:p>
    <w:p w14:paraId="5C44B539" w14:textId="2228E1BD" w:rsidR="002F50E5" w:rsidRDefault="002F50E5" w:rsidP="002F50E5">
      <w:pPr>
        <w:pStyle w:val="NoSpacing"/>
        <w:numPr>
          <w:ilvl w:val="0"/>
          <w:numId w:val="5"/>
        </w:numPr>
        <w:ind w:left="360"/>
      </w:pPr>
      <w:r w:rsidRPr="005537E4">
        <w:rPr>
          <w:rFonts w:asciiTheme="minorHAnsi" w:hAnsiTheme="minorHAnsi"/>
        </w:rPr>
        <w:t>Project Listing:  Project listings will be provided in electronic format to Interagency Consultation Group for review</w:t>
      </w:r>
      <w:r>
        <w:t xml:space="preserve"> and include:</w:t>
      </w:r>
    </w:p>
    <w:p w14:paraId="52E93D13" w14:textId="77777777" w:rsidR="002F50E5" w:rsidRDefault="002F50E5" w:rsidP="002F50E5">
      <w:pPr>
        <w:pStyle w:val="NoSpacing"/>
        <w:numPr>
          <w:ilvl w:val="1"/>
          <w:numId w:val="5"/>
        </w:numPr>
      </w:pPr>
      <w:r w:rsidRPr="00284383">
        <w:rPr>
          <w:rFonts w:asciiTheme="minorHAnsi" w:hAnsiTheme="minorHAnsi"/>
        </w:rPr>
        <w:t>Regionally Significant and Federally Funded</w:t>
      </w:r>
    </w:p>
    <w:p w14:paraId="58D8D4EC" w14:textId="77777777" w:rsidR="002F50E5" w:rsidRDefault="002F50E5" w:rsidP="002F50E5">
      <w:pPr>
        <w:pStyle w:val="NoSpacing"/>
        <w:numPr>
          <w:ilvl w:val="1"/>
          <w:numId w:val="5"/>
        </w:numPr>
      </w:pPr>
      <w:r w:rsidRPr="00284383">
        <w:rPr>
          <w:rFonts w:asciiTheme="minorHAnsi" w:hAnsiTheme="minorHAnsi"/>
        </w:rPr>
        <w:t>Regionally Significant and Non-Federally Funded</w:t>
      </w:r>
    </w:p>
    <w:p w14:paraId="116D4578" w14:textId="0B7E5540" w:rsidR="002F50E5" w:rsidRPr="005537E4" w:rsidRDefault="002F50E5" w:rsidP="002F50E5">
      <w:pPr>
        <w:pStyle w:val="NoSpacing"/>
        <w:numPr>
          <w:ilvl w:val="0"/>
          <w:numId w:val="5"/>
        </w:numPr>
        <w:ind w:left="360"/>
      </w:pPr>
      <w:r w:rsidRPr="005537E4">
        <w:t xml:space="preserve">Demographic Data:  </w:t>
      </w:r>
      <w:r w:rsidR="00685C62">
        <w:t>To be p</w:t>
      </w:r>
      <w:r w:rsidRPr="005537E4">
        <w:t xml:space="preserve">rovided as separate </w:t>
      </w:r>
      <w:proofErr w:type="gramStart"/>
      <w:r w:rsidRPr="005537E4">
        <w:t>attachment</w:t>
      </w:r>
      <w:proofErr w:type="gramEnd"/>
    </w:p>
    <w:p w14:paraId="280EB701" w14:textId="77777777" w:rsidR="002F50E5" w:rsidRPr="005537E4" w:rsidRDefault="002F50E5" w:rsidP="002F50E5">
      <w:pPr>
        <w:pStyle w:val="NoSpacing"/>
        <w:numPr>
          <w:ilvl w:val="0"/>
          <w:numId w:val="5"/>
        </w:numPr>
        <w:ind w:left="360"/>
        <w:rPr>
          <w:rFonts w:asciiTheme="minorHAnsi" w:hAnsiTheme="minorHAnsi"/>
        </w:rPr>
      </w:pPr>
      <w:r w:rsidRPr="005537E4">
        <w:rPr>
          <w:rFonts w:asciiTheme="minorHAnsi" w:hAnsiTheme="minorHAnsi"/>
        </w:rPr>
        <w:t>Speed Data: Free-flow Speed by Area Type and Facility Type</w:t>
      </w:r>
      <w:r w:rsidRPr="005537E4">
        <w:rPr>
          <w:rStyle w:val="FootnoteReference"/>
          <w:rFonts w:asciiTheme="minorHAnsi" w:hAnsiTheme="minorHAnsi"/>
        </w:rPr>
        <w:footnoteReference w:id="7"/>
      </w:r>
      <w:r w:rsidRPr="005537E4">
        <w:rPr>
          <w:rFonts w:asciiTheme="minorHAnsi" w:hAnsiTheme="minorHAnsi"/>
        </w:rPr>
        <w:t xml:space="preserve"> </w:t>
      </w:r>
    </w:p>
    <w:p w14:paraId="578F73DC" w14:textId="77777777" w:rsidR="002F50E5" w:rsidRPr="005537E4" w:rsidRDefault="002F50E5" w:rsidP="002F50E5">
      <w:r w:rsidRPr="005537E4">
        <w:t xml:space="preserve"> </w:t>
      </w:r>
    </w:p>
    <w:tbl>
      <w:tblPr>
        <w:tblStyle w:val="TableGridLight"/>
        <w:tblW w:w="5099" w:type="pct"/>
        <w:tblLook w:val="04A0" w:firstRow="1" w:lastRow="0" w:firstColumn="1" w:lastColumn="0" w:noHBand="0" w:noVBand="1"/>
      </w:tblPr>
      <w:tblGrid>
        <w:gridCol w:w="942"/>
        <w:gridCol w:w="561"/>
        <w:gridCol w:w="1208"/>
        <w:gridCol w:w="1140"/>
        <w:gridCol w:w="1208"/>
        <w:gridCol w:w="1140"/>
        <w:gridCol w:w="898"/>
        <w:gridCol w:w="655"/>
        <w:gridCol w:w="1783"/>
      </w:tblGrid>
      <w:tr w:rsidR="002F50E5" w:rsidRPr="004F68DC" w14:paraId="5CE08FBE" w14:textId="77777777" w:rsidTr="00423385">
        <w:trPr>
          <w:trHeight w:val="562"/>
          <w:tblHeader/>
        </w:trPr>
        <w:tc>
          <w:tcPr>
            <w:tcW w:w="487" w:type="pct"/>
            <w:vMerge w:val="restart"/>
            <w:vAlign w:val="center"/>
            <w:hideMark/>
          </w:tcPr>
          <w:p w14:paraId="355C983D" w14:textId="77777777" w:rsidR="002F50E5" w:rsidRPr="004F68DC" w:rsidRDefault="002F50E5" w:rsidP="009D6BF6">
            <w:pPr>
              <w:jc w:val="center"/>
              <w:rPr>
                <w:rFonts w:eastAsia="Times New Roman" w:cs="Arial"/>
                <w:sz w:val="20"/>
                <w:szCs w:val="20"/>
              </w:rPr>
            </w:pPr>
            <w:r w:rsidRPr="0090244B">
              <w:rPr>
                <w:rFonts w:eastAsia="Times New Roman" w:cs="Arial"/>
                <w:b/>
                <w:bCs/>
                <w:kern w:val="24"/>
                <w:sz w:val="20"/>
                <w:szCs w:val="20"/>
              </w:rPr>
              <w:t>FACTYPE</w:t>
            </w:r>
          </w:p>
        </w:tc>
        <w:tc>
          <w:tcPr>
            <w:tcW w:w="4513" w:type="pct"/>
            <w:gridSpan w:val="8"/>
            <w:vAlign w:val="center"/>
          </w:tcPr>
          <w:p w14:paraId="3C49236B" w14:textId="77777777" w:rsidR="002F50E5" w:rsidRPr="004F68DC" w:rsidRDefault="002F50E5" w:rsidP="009D6BF6">
            <w:pPr>
              <w:jc w:val="center"/>
              <w:rPr>
                <w:rFonts w:eastAsia="Times New Roman" w:cs="Arial"/>
                <w:sz w:val="20"/>
                <w:szCs w:val="20"/>
              </w:rPr>
            </w:pPr>
            <w:r w:rsidRPr="0090244B">
              <w:rPr>
                <w:rFonts w:eastAsia="Times New Roman" w:cs="Arial"/>
                <w:b/>
                <w:bCs/>
                <w:kern w:val="24"/>
                <w:sz w:val="20"/>
                <w:szCs w:val="20"/>
              </w:rPr>
              <w:t>ABM Area Type</w:t>
            </w:r>
          </w:p>
        </w:tc>
      </w:tr>
      <w:tr w:rsidR="002F50E5" w:rsidRPr="004F68DC" w14:paraId="1B9108EC" w14:textId="77777777" w:rsidTr="00423385">
        <w:trPr>
          <w:trHeight w:val="562"/>
          <w:tblHeader/>
        </w:trPr>
        <w:tc>
          <w:tcPr>
            <w:tcW w:w="487" w:type="pct"/>
            <w:vMerge/>
            <w:vAlign w:val="center"/>
            <w:hideMark/>
          </w:tcPr>
          <w:p w14:paraId="2DF75DFE" w14:textId="77777777" w:rsidR="002F50E5" w:rsidRPr="0090244B" w:rsidRDefault="002F50E5" w:rsidP="009D6BF6">
            <w:pPr>
              <w:jc w:val="center"/>
              <w:rPr>
                <w:rFonts w:eastAsia="Times New Roman" w:cs="Arial"/>
                <w:b/>
                <w:sz w:val="20"/>
                <w:szCs w:val="20"/>
              </w:rPr>
            </w:pPr>
          </w:p>
        </w:tc>
        <w:tc>
          <w:tcPr>
            <w:tcW w:w="291" w:type="pct"/>
            <w:vAlign w:val="center"/>
            <w:hideMark/>
          </w:tcPr>
          <w:p w14:paraId="05DD9751" w14:textId="77777777" w:rsidR="002F50E5" w:rsidRPr="0090244B" w:rsidRDefault="002F50E5" w:rsidP="009D6BF6">
            <w:pPr>
              <w:jc w:val="center"/>
              <w:rPr>
                <w:rFonts w:eastAsia="Times New Roman" w:cs="Arial"/>
                <w:b/>
                <w:sz w:val="20"/>
                <w:szCs w:val="20"/>
              </w:rPr>
            </w:pPr>
            <w:r w:rsidRPr="0090244B">
              <w:rPr>
                <w:rFonts w:eastAsia="Times New Roman" w:cs="Arial"/>
                <w:b/>
                <w:color w:val="000000" w:themeColor="dark1"/>
                <w:kern w:val="24"/>
                <w:sz w:val="20"/>
                <w:szCs w:val="20"/>
              </w:rPr>
              <w:t>CBD</w:t>
            </w:r>
          </w:p>
        </w:tc>
        <w:tc>
          <w:tcPr>
            <w:tcW w:w="623" w:type="pct"/>
            <w:vAlign w:val="center"/>
            <w:hideMark/>
          </w:tcPr>
          <w:p w14:paraId="2102C130" w14:textId="77777777" w:rsidR="002F50E5" w:rsidRPr="0090244B" w:rsidRDefault="002F50E5" w:rsidP="009D6BF6">
            <w:pPr>
              <w:jc w:val="center"/>
              <w:rPr>
                <w:rFonts w:eastAsia="Times New Roman" w:cs="Arial"/>
                <w:b/>
                <w:sz w:val="20"/>
                <w:szCs w:val="20"/>
              </w:rPr>
            </w:pPr>
            <w:r w:rsidRPr="0090244B">
              <w:rPr>
                <w:rFonts w:eastAsia="Times New Roman" w:cs="Arial"/>
                <w:b/>
                <w:color w:val="000000" w:themeColor="dark1"/>
                <w:kern w:val="24"/>
                <w:sz w:val="20"/>
                <w:szCs w:val="20"/>
              </w:rPr>
              <w:t>Urban Commercial</w:t>
            </w:r>
          </w:p>
        </w:tc>
        <w:tc>
          <w:tcPr>
            <w:tcW w:w="588" w:type="pct"/>
            <w:vAlign w:val="center"/>
            <w:hideMark/>
          </w:tcPr>
          <w:p w14:paraId="01BA2236" w14:textId="77777777" w:rsidR="002F50E5" w:rsidRPr="0090244B" w:rsidRDefault="002F50E5" w:rsidP="009D6BF6">
            <w:pPr>
              <w:jc w:val="center"/>
              <w:rPr>
                <w:rFonts w:eastAsia="Times New Roman" w:cs="Arial"/>
                <w:b/>
                <w:sz w:val="20"/>
                <w:szCs w:val="20"/>
              </w:rPr>
            </w:pPr>
            <w:r w:rsidRPr="0090244B">
              <w:rPr>
                <w:rFonts w:eastAsia="Times New Roman" w:cs="Arial"/>
                <w:b/>
                <w:color w:val="000000" w:themeColor="dark1"/>
                <w:kern w:val="24"/>
                <w:sz w:val="20"/>
                <w:szCs w:val="20"/>
              </w:rPr>
              <w:t>Urban Residential</w:t>
            </w:r>
          </w:p>
        </w:tc>
        <w:tc>
          <w:tcPr>
            <w:tcW w:w="623" w:type="pct"/>
            <w:vAlign w:val="center"/>
            <w:hideMark/>
          </w:tcPr>
          <w:p w14:paraId="5CBF27F0" w14:textId="77777777" w:rsidR="002F50E5" w:rsidRPr="0090244B" w:rsidRDefault="002F50E5" w:rsidP="009D6BF6">
            <w:pPr>
              <w:jc w:val="center"/>
              <w:rPr>
                <w:rFonts w:eastAsia="Times New Roman" w:cs="Arial"/>
                <w:b/>
                <w:sz w:val="20"/>
                <w:szCs w:val="20"/>
              </w:rPr>
            </w:pPr>
            <w:r w:rsidRPr="0090244B">
              <w:rPr>
                <w:rFonts w:eastAsia="Times New Roman" w:cs="Arial"/>
                <w:b/>
                <w:color w:val="000000" w:themeColor="dark1"/>
                <w:kern w:val="24"/>
                <w:sz w:val="20"/>
                <w:szCs w:val="20"/>
              </w:rPr>
              <w:t>Suburban Commercial</w:t>
            </w:r>
          </w:p>
        </w:tc>
        <w:tc>
          <w:tcPr>
            <w:tcW w:w="588" w:type="pct"/>
            <w:vAlign w:val="center"/>
            <w:hideMark/>
          </w:tcPr>
          <w:p w14:paraId="2C6C167B" w14:textId="77777777" w:rsidR="002F50E5" w:rsidRPr="0090244B" w:rsidRDefault="002F50E5" w:rsidP="009D6BF6">
            <w:pPr>
              <w:jc w:val="center"/>
              <w:rPr>
                <w:rFonts w:eastAsia="Times New Roman" w:cs="Arial"/>
                <w:b/>
                <w:sz w:val="20"/>
                <w:szCs w:val="20"/>
              </w:rPr>
            </w:pPr>
            <w:r w:rsidRPr="0090244B">
              <w:rPr>
                <w:rFonts w:eastAsia="Times New Roman" w:cs="Arial"/>
                <w:b/>
                <w:color w:val="000000" w:themeColor="dark1"/>
                <w:kern w:val="24"/>
                <w:sz w:val="20"/>
                <w:szCs w:val="20"/>
              </w:rPr>
              <w:t>Suburban Residential</w:t>
            </w:r>
          </w:p>
        </w:tc>
        <w:tc>
          <w:tcPr>
            <w:tcW w:w="464" w:type="pct"/>
            <w:vAlign w:val="center"/>
            <w:hideMark/>
          </w:tcPr>
          <w:p w14:paraId="49A73391" w14:textId="77777777" w:rsidR="002F50E5" w:rsidRPr="0090244B" w:rsidRDefault="002F50E5" w:rsidP="009D6BF6">
            <w:pPr>
              <w:jc w:val="center"/>
              <w:rPr>
                <w:rFonts w:eastAsia="Times New Roman" w:cs="Arial"/>
                <w:b/>
                <w:sz w:val="20"/>
                <w:szCs w:val="20"/>
              </w:rPr>
            </w:pPr>
            <w:r w:rsidRPr="0090244B">
              <w:rPr>
                <w:rFonts w:eastAsia="Times New Roman" w:cs="Arial"/>
                <w:b/>
                <w:color w:val="000000" w:themeColor="dark1"/>
                <w:kern w:val="24"/>
                <w:sz w:val="20"/>
                <w:szCs w:val="20"/>
              </w:rPr>
              <w:t>Exurban</w:t>
            </w:r>
          </w:p>
        </w:tc>
        <w:tc>
          <w:tcPr>
            <w:tcW w:w="339" w:type="pct"/>
            <w:vAlign w:val="center"/>
            <w:hideMark/>
          </w:tcPr>
          <w:p w14:paraId="2E721513" w14:textId="77777777" w:rsidR="002F50E5" w:rsidRPr="0090244B" w:rsidRDefault="002F50E5" w:rsidP="009D6BF6">
            <w:pPr>
              <w:jc w:val="center"/>
              <w:rPr>
                <w:rFonts w:eastAsia="Times New Roman" w:cs="Arial"/>
                <w:b/>
                <w:sz w:val="20"/>
                <w:szCs w:val="20"/>
              </w:rPr>
            </w:pPr>
            <w:r w:rsidRPr="0090244B">
              <w:rPr>
                <w:rFonts w:eastAsia="Times New Roman" w:cs="Arial"/>
                <w:b/>
                <w:color w:val="000000" w:themeColor="dark1"/>
                <w:kern w:val="24"/>
                <w:sz w:val="20"/>
                <w:szCs w:val="20"/>
              </w:rPr>
              <w:t>Rural</w:t>
            </w:r>
          </w:p>
        </w:tc>
        <w:tc>
          <w:tcPr>
            <w:tcW w:w="998" w:type="pct"/>
            <w:vAlign w:val="center"/>
            <w:hideMark/>
          </w:tcPr>
          <w:p w14:paraId="699F33BF" w14:textId="77777777" w:rsidR="002F50E5" w:rsidRPr="0090244B" w:rsidRDefault="002F50E5" w:rsidP="009D6BF6">
            <w:pPr>
              <w:jc w:val="center"/>
              <w:rPr>
                <w:rFonts w:eastAsia="Times New Roman" w:cs="Arial"/>
                <w:b/>
                <w:sz w:val="20"/>
                <w:szCs w:val="20"/>
              </w:rPr>
            </w:pPr>
            <w:r w:rsidRPr="0090244B">
              <w:rPr>
                <w:rFonts w:eastAsia="Times New Roman" w:cs="Arial"/>
                <w:b/>
                <w:color w:val="000000" w:themeColor="dark1"/>
                <w:kern w:val="24"/>
                <w:sz w:val="20"/>
                <w:szCs w:val="20"/>
              </w:rPr>
              <w:t>Facility Type</w:t>
            </w:r>
          </w:p>
        </w:tc>
      </w:tr>
      <w:tr w:rsidR="002F50E5" w:rsidRPr="004F68DC" w14:paraId="2A07C557" w14:textId="77777777" w:rsidTr="00423385">
        <w:trPr>
          <w:trHeight w:val="73"/>
        </w:trPr>
        <w:tc>
          <w:tcPr>
            <w:tcW w:w="487" w:type="pct"/>
            <w:vAlign w:val="center"/>
            <w:hideMark/>
          </w:tcPr>
          <w:p w14:paraId="260FF3BE" w14:textId="77777777" w:rsidR="002F50E5" w:rsidRPr="0090244B" w:rsidRDefault="002F50E5" w:rsidP="009D6BF6">
            <w:pPr>
              <w:jc w:val="center"/>
              <w:rPr>
                <w:rFonts w:eastAsia="Times New Roman" w:cs="Arial"/>
                <w:sz w:val="20"/>
                <w:szCs w:val="20"/>
              </w:rPr>
            </w:pPr>
            <w:r w:rsidRPr="0090244B">
              <w:rPr>
                <w:rFonts w:eastAsia="Times New Roman" w:cs="Arial"/>
                <w:b/>
                <w:bCs/>
                <w:kern w:val="24"/>
                <w:sz w:val="20"/>
                <w:szCs w:val="20"/>
              </w:rPr>
              <w:t>1</w:t>
            </w:r>
          </w:p>
        </w:tc>
        <w:tc>
          <w:tcPr>
            <w:tcW w:w="291" w:type="pct"/>
            <w:vAlign w:val="center"/>
            <w:hideMark/>
          </w:tcPr>
          <w:p w14:paraId="4D0687BB"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62</w:t>
            </w:r>
          </w:p>
        </w:tc>
        <w:tc>
          <w:tcPr>
            <w:tcW w:w="623" w:type="pct"/>
            <w:vAlign w:val="center"/>
            <w:hideMark/>
          </w:tcPr>
          <w:p w14:paraId="0E91E442"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63</w:t>
            </w:r>
          </w:p>
        </w:tc>
        <w:tc>
          <w:tcPr>
            <w:tcW w:w="588" w:type="pct"/>
            <w:vAlign w:val="center"/>
            <w:hideMark/>
          </w:tcPr>
          <w:p w14:paraId="0DEE6ADB"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63</w:t>
            </w:r>
          </w:p>
        </w:tc>
        <w:tc>
          <w:tcPr>
            <w:tcW w:w="623" w:type="pct"/>
            <w:vAlign w:val="center"/>
            <w:hideMark/>
          </w:tcPr>
          <w:p w14:paraId="0E8613DA"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63</w:t>
            </w:r>
          </w:p>
        </w:tc>
        <w:tc>
          <w:tcPr>
            <w:tcW w:w="588" w:type="pct"/>
            <w:vAlign w:val="center"/>
            <w:hideMark/>
          </w:tcPr>
          <w:p w14:paraId="48B43FD4"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64</w:t>
            </w:r>
          </w:p>
        </w:tc>
        <w:tc>
          <w:tcPr>
            <w:tcW w:w="464" w:type="pct"/>
            <w:vAlign w:val="center"/>
            <w:hideMark/>
          </w:tcPr>
          <w:p w14:paraId="4601733E"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65</w:t>
            </w:r>
          </w:p>
        </w:tc>
        <w:tc>
          <w:tcPr>
            <w:tcW w:w="339" w:type="pct"/>
            <w:vAlign w:val="center"/>
            <w:hideMark/>
          </w:tcPr>
          <w:p w14:paraId="40AEF973"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66</w:t>
            </w:r>
          </w:p>
        </w:tc>
        <w:tc>
          <w:tcPr>
            <w:tcW w:w="998" w:type="pct"/>
            <w:vAlign w:val="center"/>
            <w:hideMark/>
          </w:tcPr>
          <w:p w14:paraId="13A48826"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interstate/freeway</w:t>
            </w:r>
          </w:p>
        </w:tc>
      </w:tr>
      <w:tr w:rsidR="002F50E5" w:rsidRPr="004F68DC" w14:paraId="6248CE98" w14:textId="77777777" w:rsidTr="00423385">
        <w:trPr>
          <w:trHeight w:val="136"/>
        </w:trPr>
        <w:tc>
          <w:tcPr>
            <w:tcW w:w="487" w:type="pct"/>
            <w:vAlign w:val="center"/>
            <w:hideMark/>
          </w:tcPr>
          <w:p w14:paraId="072A628A" w14:textId="77777777" w:rsidR="002F50E5" w:rsidRPr="0090244B" w:rsidRDefault="002F50E5" w:rsidP="009D6BF6">
            <w:pPr>
              <w:jc w:val="center"/>
              <w:rPr>
                <w:rFonts w:eastAsia="Times New Roman" w:cs="Arial"/>
                <w:sz w:val="20"/>
                <w:szCs w:val="20"/>
              </w:rPr>
            </w:pPr>
            <w:r w:rsidRPr="0090244B">
              <w:rPr>
                <w:rFonts w:eastAsia="Times New Roman" w:cs="Arial"/>
                <w:b/>
                <w:bCs/>
                <w:kern w:val="24"/>
                <w:sz w:val="20"/>
                <w:szCs w:val="20"/>
              </w:rPr>
              <w:t>2</w:t>
            </w:r>
          </w:p>
        </w:tc>
        <w:tc>
          <w:tcPr>
            <w:tcW w:w="291" w:type="pct"/>
            <w:vAlign w:val="center"/>
            <w:hideMark/>
          </w:tcPr>
          <w:p w14:paraId="00130A00"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43</w:t>
            </w:r>
          </w:p>
        </w:tc>
        <w:tc>
          <w:tcPr>
            <w:tcW w:w="623" w:type="pct"/>
            <w:vAlign w:val="center"/>
            <w:hideMark/>
          </w:tcPr>
          <w:p w14:paraId="75734883"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46</w:t>
            </w:r>
          </w:p>
        </w:tc>
        <w:tc>
          <w:tcPr>
            <w:tcW w:w="588" w:type="pct"/>
            <w:vAlign w:val="center"/>
            <w:hideMark/>
          </w:tcPr>
          <w:p w14:paraId="62B1B15D"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49</w:t>
            </w:r>
          </w:p>
        </w:tc>
        <w:tc>
          <w:tcPr>
            <w:tcW w:w="623" w:type="pct"/>
            <w:vAlign w:val="center"/>
            <w:hideMark/>
          </w:tcPr>
          <w:p w14:paraId="55EE3A4A"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52</w:t>
            </w:r>
          </w:p>
        </w:tc>
        <w:tc>
          <w:tcPr>
            <w:tcW w:w="588" w:type="pct"/>
            <w:vAlign w:val="center"/>
            <w:hideMark/>
          </w:tcPr>
          <w:p w14:paraId="2F3F0C3D"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55</w:t>
            </w:r>
          </w:p>
        </w:tc>
        <w:tc>
          <w:tcPr>
            <w:tcW w:w="464" w:type="pct"/>
            <w:vAlign w:val="center"/>
            <w:hideMark/>
          </w:tcPr>
          <w:p w14:paraId="20C55475"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58</w:t>
            </w:r>
          </w:p>
        </w:tc>
        <w:tc>
          <w:tcPr>
            <w:tcW w:w="339" w:type="pct"/>
            <w:vAlign w:val="center"/>
            <w:hideMark/>
          </w:tcPr>
          <w:p w14:paraId="4D45CD3E"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61</w:t>
            </w:r>
          </w:p>
        </w:tc>
        <w:tc>
          <w:tcPr>
            <w:tcW w:w="998" w:type="pct"/>
            <w:vAlign w:val="center"/>
            <w:hideMark/>
          </w:tcPr>
          <w:p w14:paraId="09DF9AF8" w14:textId="2EF042AF" w:rsidR="002F50E5" w:rsidRPr="004F68DC" w:rsidRDefault="0063479C" w:rsidP="009D6BF6">
            <w:pPr>
              <w:jc w:val="center"/>
              <w:rPr>
                <w:rFonts w:eastAsia="Times New Roman" w:cs="Arial"/>
                <w:sz w:val="20"/>
                <w:szCs w:val="20"/>
              </w:rPr>
            </w:pPr>
            <w:r w:rsidRPr="004F68DC">
              <w:rPr>
                <w:rFonts w:eastAsia="Times New Roman" w:cs="Arial"/>
                <w:color w:val="000000" w:themeColor="dark1"/>
                <w:kern w:val="24"/>
                <w:sz w:val="20"/>
                <w:szCs w:val="20"/>
              </w:rPr>
              <w:t>E</w:t>
            </w:r>
            <w:r w:rsidR="002F50E5" w:rsidRPr="004F68DC">
              <w:rPr>
                <w:rFonts w:eastAsia="Times New Roman" w:cs="Arial"/>
                <w:color w:val="000000" w:themeColor="dark1"/>
                <w:kern w:val="24"/>
                <w:sz w:val="20"/>
                <w:szCs w:val="20"/>
              </w:rPr>
              <w:t>xpressway</w:t>
            </w:r>
          </w:p>
        </w:tc>
      </w:tr>
      <w:tr w:rsidR="002F50E5" w:rsidRPr="004F68DC" w14:paraId="689C7EA3" w14:textId="77777777" w:rsidTr="00423385">
        <w:trPr>
          <w:trHeight w:val="52"/>
        </w:trPr>
        <w:tc>
          <w:tcPr>
            <w:tcW w:w="487" w:type="pct"/>
            <w:vAlign w:val="center"/>
            <w:hideMark/>
          </w:tcPr>
          <w:p w14:paraId="1E2A8765" w14:textId="77777777" w:rsidR="002F50E5" w:rsidRPr="0090244B" w:rsidRDefault="002F50E5" w:rsidP="009D6BF6">
            <w:pPr>
              <w:jc w:val="center"/>
              <w:rPr>
                <w:rFonts w:eastAsia="Times New Roman" w:cs="Arial"/>
                <w:sz w:val="20"/>
                <w:szCs w:val="20"/>
              </w:rPr>
            </w:pPr>
            <w:r w:rsidRPr="0090244B">
              <w:rPr>
                <w:rFonts w:eastAsia="Times New Roman" w:cs="Arial"/>
                <w:b/>
                <w:bCs/>
                <w:kern w:val="24"/>
                <w:sz w:val="20"/>
                <w:szCs w:val="20"/>
              </w:rPr>
              <w:t>3</w:t>
            </w:r>
          </w:p>
        </w:tc>
        <w:tc>
          <w:tcPr>
            <w:tcW w:w="291" w:type="pct"/>
            <w:vAlign w:val="center"/>
            <w:hideMark/>
          </w:tcPr>
          <w:p w14:paraId="6098EFED"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43</w:t>
            </w:r>
          </w:p>
        </w:tc>
        <w:tc>
          <w:tcPr>
            <w:tcW w:w="623" w:type="pct"/>
            <w:vAlign w:val="center"/>
            <w:hideMark/>
          </w:tcPr>
          <w:p w14:paraId="663946D0"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46</w:t>
            </w:r>
          </w:p>
        </w:tc>
        <w:tc>
          <w:tcPr>
            <w:tcW w:w="588" w:type="pct"/>
            <w:vAlign w:val="center"/>
            <w:hideMark/>
          </w:tcPr>
          <w:p w14:paraId="3E5E9319"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49</w:t>
            </w:r>
          </w:p>
        </w:tc>
        <w:tc>
          <w:tcPr>
            <w:tcW w:w="623" w:type="pct"/>
            <w:vAlign w:val="center"/>
            <w:hideMark/>
          </w:tcPr>
          <w:p w14:paraId="4D3DF162"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52</w:t>
            </w:r>
          </w:p>
        </w:tc>
        <w:tc>
          <w:tcPr>
            <w:tcW w:w="588" w:type="pct"/>
            <w:vAlign w:val="center"/>
            <w:hideMark/>
          </w:tcPr>
          <w:p w14:paraId="5C622B7E"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55</w:t>
            </w:r>
          </w:p>
        </w:tc>
        <w:tc>
          <w:tcPr>
            <w:tcW w:w="464" w:type="pct"/>
            <w:vAlign w:val="center"/>
            <w:hideMark/>
          </w:tcPr>
          <w:p w14:paraId="3D2B7A62"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58</w:t>
            </w:r>
          </w:p>
        </w:tc>
        <w:tc>
          <w:tcPr>
            <w:tcW w:w="339" w:type="pct"/>
            <w:vAlign w:val="center"/>
            <w:hideMark/>
          </w:tcPr>
          <w:p w14:paraId="4802D3DF"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61</w:t>
            </w:r>
          </w:p>
        </w:tc>
        <w:tc>
          <w:tcPr>
            <w:tcW w:w="998" w:type="pct"/>
            <w:vAlign w:val="center"/>
            <w:hideMark/>
          </w:tcPr>
          <w:p w14:paraId="2F86FCC9" w14:textId="3E16F1D6" w:rsidR="002F50E5" w:rsidRPr="004F68DC" w:rsidRDefault="0063479C" w:rsidP="009D6BF6">
            <w:pPr>
              <w:jc w:val="center"/>
              <w:rPr>
                <w:rFonts w:eastAsia="Times New Roman" w:cs="Arial"/>
                <w:sz w:val="20"/>
                <w:szCs w:val="20"/>
              </w:rPr>
            </w:pPr>
            <w:r w:rsidRPr="004F68DC">
              <w:rPr>
                <w:rFonts w:eastAsia="Times New Roman" w:cs="Arial"/>
                <w:color w:val="000000" w:themeColor="dark1"/>
                <w:kern w:val="24"/>
                <w:sz w:val="20"/>
                <w:szCs w:val="20"/>
              </w:rPr>
              <w:t>P</w:t>
            </w:r>
            <w:r w:rsidR="002F50E5" w:rsidRPr="004F68DC">
              <w:rPr>
                <w:rFonts w:eastAsia="Times New Roman" w:cs="Arial"/>
                <w:color w:val="000000" w:themeColor="dark1"/>
                <w:kern w:val="24"/>
                <w:sz w:val="20"/>
                <w:szCs w:val="20"/>
              </w:rPr>
              <w:t>arkway</w:t>
            </w:r>
          </w:p>
        </w:tc>
      </w:tr>
      <w:tr w:rsidR="002F50E5" w:rsidRPr="004F68DC" w14:paraId="36332B74" w14:textId="77777777" w:rsidTr="00423385">
        <w:trPr>
          <w:trHeight w:val="52"/>
        </w:trPr>
        <w:tc>
          <w:tcPr>
            <w:tcW w:w="487" w:type="pct"/>
            <w:vAlign w:val="center"/>
            <w:hideMark/>
          </w:tcPr>
          <w:p w14:paraId="56B32854" w14:textId="77777777" w:rsidR="002F50E5" w:rsidRPr="0090244B" w:rsidRDefault="002F50E5" w:rsidP="009D6BF6">
            <w:pPr>
              <w:jc w:val="center"/>
              <w:rPr>
                <w:rFonts w:eastAsia="Times New Roman" w:cs="Arial"/>
                <w:sz w:val="20"/>
                <w:szCs w:val="20"/>
              </w:rPr>
            </w:pPr>
            <w:r w:rsidRPr="0090244B">
              <w:rPr>
                <w:rFonts w:eastAsia="Times New Roman" w:cs="Arial"/>
                <w:b/>
                <w:bCs/>
                <w:kern w:val="24"/>
                <w:sz w:val="20"/>
                <w:szCs w:val="20"/>
              </w:rPr>
              <w:t>4</w:t>
            </w:r>
          </w:p>
        </w:tc>
        <w:tc>
          <w:tcPr>
            <w:tcW w:w="291" w:type="pct"/>
            <w:vAlign w:val="center"/>
            <w:hideMark/>
          </w:tcPr>
          <w:p w14:paraId="321EF4AF"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64</w:t>
            </w:r>
          </w:p>
        </w:tc>
        <w:tc>
          <w:tcPr>
            <w:tcW w:w="623" w:type="pct"/>
            <w:vAlign w:val="center"/>
            <w:hideMark/>
          </w:tcPr>
          <w:p w14:paraId="689DB311"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65</w:t>
            </w:r>
          </w:p>
        </w:tc>
        <w:tc>
          <w:tcPr>
            <w:tcW w:w="588" w:type="pct"/>
            <w:vAlign w:val="center"/>
            <w:hideMark/>
          </w:tcPr>
          <w:p w14:paraId="04EB76AF"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65</w:t>
            </w:r>
          </w:p>
        </w:tc>
        <w:tc>
          <w:tcPr>
            <w:tcW w:w="623" w:type="pct"/>
            <w:vAlign w:val="center"/>
            <w:hideMark/>
          </w:tcPr>
          <w:p w14:paraId="5834D371"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65</w:t>
            </w:r>
          </w:p>
        </w:tc>
        <w:tc>
          <w:tcPr>
            <w:tcW w:w="588" w:type="pct"/>
            <w:vAlign w:val="center"/>
            <w:hideMark/>
          </w:tcPr>
          <w:p w14:paraId="7DA074E8"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66</w:t>
            </w:r>
          </w:p>
        </w:tc>
        <w:tc>
          <w:tcPr>
            <w:tcW w:w="464" w:type="pct"/>
            <w:vAlign w:val="center"/>
            <w:hideMark/>
          </w:tcPr>
          <w:p w14:paraId="0FB1E6D7"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67</w:t>
            </w:r>
          </w:p>
        </w:tc>
        <w:tc>
          <w:tcPr>
            <w:tcW w:w="339" w:type="pct"/>
            <w:vAlign w:val="center"/>
            <w:hideMark/>
          </w:tcPr>
          <w:p w14:paraId="36F171A4"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68</w:t>
            </w:r>
          </w:p>
        </w:tc>
        <w:tc>
          <w:tcPr>
            <w:tcW w:w="998" w:type="pct"/>
            <w:vAlign w:val="center"/>
            <w:hideMark/>
          </w:tcPr>
          <w:p w14:paraId="67A16882"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freeway HOV (concurrent)</w:t>
            </w:r>
          </w:p>
        </w:tc>
      </w:tr>
      <w:tr w:rsidR="002F50E5" w:rsidRPr="004F68DC" w14:paraId="5D5ED515" w14:textId="77777777" w:rsidTr="00423385">
        <w:trPr>
          <w:trHeight w:val="52"/>
        </w:trPr>
        <w:tc>
          <w:tcPr>
            <w:tcW w:w="487" w:type="pct"/>
            <w:vAlign w:val="center"/>
            <w:hideMark/>
          </w:tcPr>
          <w:p w14:paraId="6416CE04" w14:textId="77777777" w:rsidR="002F50E5" w:rsidRPr="0090244B" w:rsidRDefault="002F50E5" w:rsidP="009D6BF6">
            <w:pPr>
              <w:jc w:val="center"/>
              <w:rPr>
                <w:rFonts w:eastAsia="Times New Roman" w:cs="Arial"/>
                <w:sz w:val="20"/>
                <w:szCs w:val="20"/>
              </w:rPr>
            </w:pPr>
            <w:r w:rsidRPr="0090244B">
              <w:rPr>
                <w:rFonts w:eastAsia="Times New Roman" w:cs="Arial"/>
                <w:b/>
                <w:bCs/>
                <w:kern w:val="24"/>
                <w:sz w:val="20"/>
                <w:szCs w:val="20"/>
              </w:rPr>
              <w:t>5</w:t>
            </w:r>
          </w:p>
        </w:tc>
        <w:tc>
          <w:tcPr>
            <w:tcW w:w="291" w:type="pct"/>
            <w:vAlign w:val="center"/>
            <w:hideMark/>
          </w:tcPr>
          <w:p w14:paraId="59EA573A"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64</w:t>
            </w:r>
          </w:p>
        </w:tc>
        <w:tc>
          <w:tcPr>
            <w:tcW w:w="623" w:type="pct"/>
            <w:vAlign w:val="center"/>
            <w:hideMark/>
          </w:tcPr>
          <w:p w14:paraId="0E213BDE"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65</w:t>
            </w:r>
          </w:p>
        </w:tc>
        <w:tc>
          <w:tcPr>
            <w:tcW w:w="588" w:type="pct"/>
            <w:vAlign w:val="center"/>
            <w:hideMark/>
          </w:tcPr>
          <w:p w14:paraId="2C02676D"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65</w:t>
            </w:r>
          </w:p>
        </w:tc>
        <w:tc>
          <w:tcPr>
            <w:tcW w:w="623" w:type="pct"/>
            <w:vAlign w:val="center"/>
            <w:hideMark/>
          </w:tcPr>
          <w:p w14:paraId="734687C7"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65</w:t>
            </w:r>
          </w:p>
        </w:tc>
        <w:tc>
          <w:tcPr>
            <w:tcW w:w="588" w:type="pct"/>
            <w:vAlign w:val="center"/>
            <w:hideMark/>
          </w:tcPr>
          <w:p w14:paraId="73D3CC8F"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66</w:t>
            </w:r>
          </w:p>
        </w:tc>
        <w:tc>
          <w:tcPr>
            <w:tcW w:w="464" w:type="pct"/>
            <w:vAlign w:val="center"/>
            <w:hideMark/>
          </w:tcPr>
          <w:p w14:paraId="1F5B801D"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67</w:t>
            </w:r>
          </w:p>
        </w:tc>
        <w:tc>
          <w:tcPr>
            <w:tcW w:w="339" w:type="pct"/>
            <w:vAlign w:val="center"/>
            <w:hideMark/>
          </w:tcPr>
          <w:p w14:paraId="144E9D3F"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68</w:t>
            </w:r>
          </w:p>
        </w:tc>
        <w:tc>
          <w:tcPr>
            <w:tcW w:w="998" w:type="pct"/>
            <w:vAlign w:val="center"/>
            <w:hideMark/>
          </w:tcPr>
          <w:p w14:paraId="26F34305"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freeway HOV (barrier)</w:t>
            </w:r>
          </w:p>
        </w:tc>
      </w:tr>
      <w:tr w:rsidR="002F50E5" w:rsidRPr="004F68DC" w14:paraId="68F3857B" w14:textId="77777777" w:rsidTr="00423385">
        <w:trPr>
          <w:trHeight w:val="52"/>
        </w:trPr>
        <w:tc>
          <w:tcPr>
            <w:tcW w:w="487" w:type="pct"/>
            <w:vAlign w:val="center"/>
            <w:hideMark/>
          </w:tcPr>
          <w:p w14:paraId="1A215E4C" w14:textId="77777777" w:rsidR="002F50E5" w:rsidRPr="0090244B" w:rsidRDefault="002F50E5" w:rsidP="009D6BF6">
            <w:pPr>
              <w:jc w:val="center"/>
              <w:rPr>
                <w:rFonts w:eastAsia="Times New Roman" w:cs="Arial"/>
                <w:sz w:val="20"/>
                <w:szCs w:val="20"/>
              </w:rPr>
            </w:pPr>
            <w:r w:rsidRPr="0090244B">
              <w:rPr>
                <w:rFonts w:eastAsia="Times New Roman" w:cs="Arial"/>
                <w:b/>
                <w:bCs/>
                <w:kern w:val="24"/>
                <w:sz w:val="20"/>
                <w:szCs w:val="20"/>
              </w:rPr>
              <w:t>6</w:t>
            </w:r>
          </w:p>
        </w:tc>
        <w:tc>
          <w:tcPr>
            <w:tcW w:w="291" w:type="pct"/>
            <w:vAlign w:val="center"/>
            <w:hideMark/>
          </w:tcPr>
          <w:p w14:paraId="0D2B5105"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62</w:t>
            </w:r>
          </w:p>
        </w:tc>
        <w:tc>
          <w:tcPr>
            <w:tcW w:w="623" w:type="pct"/>
            <w:vAlign w:val="center"/>
            <w:hideMark/>
          </w:tcPr>
          <w:p w14:paraId="51CFE443"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63</w:t>
            </w:r>
          </w:p>
        </w:tc>
        <w:tc>
          <w:tcPr>
            <w:tcW w:w="588" w:type="pct"/>
            <w:vAlign w:val="center"/>
            <w:hideMark/>
          </w:tcPr>
          <w:p w14:paraId="2F74C811"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63</w:t>
            </w:r>
          </w:p>
        </w:tc>
        <w:tc>
          <w:tcPr>
            <w:tcW w:w="623" w:type="pct"/>
            <w:vAlign w:val="center"/>
            <w:hideMark/>
          </w:tcPr>
          <w:p w14:paraId="2E2BF2F8"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63</w:t>
            </w:r>
          </w:p>
        </w:tc>
        <w:tc>
          <w:tcPr>
            <w:tcW w:w="588" w:type="pct"/>
            <w:vAlign w:val="center"/>
            <w:hideMark/>
          </w:tcPr>
          <w:p w14:paraId="6714CFCF"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64</w:t>
            </w:r>
          </w:p>
        </w:tc>
        <w:tc>
          <w:tcPr>
            <w:tcW w:w="464" w:type="pct"/>
            <w:vAlign w:val="center"/>
            <w:hideMark/>
          </w:tcPr>
          <w:p w14:paraId="24752F7D"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65</w:t>
            </w:r>
          </w:p>
        </w:tc>
        <w:tc>
          <w:tcPr>
            <w:tcW w:w="339" w:type="pct"/>
            <w:vAlign w:val="center"/>
            <w:hideMark/>
          </w:tcPr>
          <w:p w14:paraId="3EAB887B"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66</w:t>
            </w:r>
          </w:p>
        </w:tc>
        <w:tc>
          <w:tcPr>
            <w:tcW w:w="998" w:type="pct"/>
            <w:vAlign w:val="center"/>
            <w:hideMark/>
          </w:tcPr>
          <w:p w14:paraId="559FA7C1"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freeway truck only</w:t>
            </w:r>
          </w:p>
        </w:tc>
      </w:tr>
      <w:tr w:rsidR="002F50E5" w:rsidRPr="004F68DC" w14:paraId="6E8C5E77" w14:textId="77777777" w:rsidTr="00423385">
        <w:trPr>
          <w:trHeight w:val="52"/>
        </w:trPr>
        <w:tc>
          <w:tcPr>
            <w:tcW w:w="487" w:type="pct"/>
            <w:vAlign w:val="center"/>
            <w:hideMark/>
          </w:tcPr>
          <w:p w14:paraId="6154AEE0" w14:textId="77777777" w:rsidR="002F50E5" w:rsidRPr="0090244B" w:rsidRDefault="002F50E5" w:rsidP="009D6BF6">
            <w:pPr>
              <w:jc w:val="center"/>
              <w:rPr>
                <w:rFonts w:eastAsia="Times New Roman" w:cs="Arial"/>
                <w:sz w:val="20"/>
                <w:szCs w:val="20"/>
              </w:rPr>
            </w:pPr>
            <w:r w:rsidRPr="0090244B">
              <w:rPr>
                <w:rFonts w:eastAsia="Times New Roman" w:cs="Arial"/>
                <w:b/>
                <w:bCs/>
                <w:kern w:val="24"/>
                <w:sz w:val="20"/>
                <w:szCs w:val="20"/>
              </w:rPr>
              <w:t>7</w:t>
            </w:r>
          </w:p>
        </w:tc>
        <w:tc>
          <w:tcPr>
            <w:tcW w:w="291" w:type="pct"/>
            <w:vAlign w:val="center"/>
            <w:hideMark/>
          </w:tcPr>
          <w:p w14:paraId="08C5B67F"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50</w:t>
            </w:r>
          </w:p>
        </w:tc>
        <w:tc>
          <w:tcPr>
            <w:tcW w:w="623" w:type="pct"/>
            <w:vAlign w:val="center"/>
            <w:hideMark/>
          </w:tcPr>
          <w:p w14:paraId="23F6E7ED"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50</w:t>
            </w:r>
          </w:p>
        </w:tc>
        <w:tc>
          <w:tcPr>
            <w:tcW w:w="588" w:type="pct"/>
            <w:vAlign w:val="center"/>
            <w:hideMark/>
          </w:tcPr>
          <w:p w14:paraId="522C3501"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50</w:t>
            </w:r>
          </w:p>
        </w:tc>
        <w:tc>
          <w:tcPr>
            <w:tcW w:w="623" w:type="pct"/>
            <w:vAlign w:val="center"/>
            <w:hideMark/>
          </w:tcPr>
          <w:p w14:paraId="04FA5344"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55</w:t>
            </w:r>
          </w:p>
        </w:tc>
        <w:tc>
          <w:tcPr>
            <w:tcW w:w="588" w:type="pct"/>
            <w:vAlign w:val="center"/>
            <w:hideMark/>
          </w:tcPr>
          <w:p w14:paraId="1258FA66"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55</w:t>
            </w:r>
          </w:p>
        </w:tc>
        <w:tc>
          <w:tcPr>
            <w:tcW w:w="464" w:type="pct"/>
            <w:vAlign w:val="center"/>
            <w:hideMark/>
          </w:tcPr>
          <w:p w14:paraId="7A8AD259"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55</w:t>
            </w:r>
          </w:p>
        </w:tc>
        <w:tc>
          <w:tcPr>
            <w:tcW w:w="339" w:type="pct"/>
            <w:vAlign w:val="center"/>
            <w:hideMark/>
          </w:tcPr>
          <w:p w14:paraId="3AB4A27C"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55</w:t>
            </w:r>
          </w:p>
        </w:tc>
        <w:tc>
          <w:tcPr>
            <w:tcW w:w="998" w:type="pct"/>
            <w:vAlign w:val="center"/>
            <w:hideMark/>
          </w:tcPr>
          <w:p w14:paraId="3ECA3627"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system to system ramp</w:t>
            </w:r>
          </w:p>
        </w:tc>
      </w:tr>
      <w:tr w:rsidR="002F50E5" w:rsidRPr="004F68DC" w14:paraId="55F1D56C" w14:textId="77777777" w:rsidTr="00423385">
        <w:trPr>
          <w:trHeight w:val="52"/>
        </w:trPr>
        <w:tc>
          <w:tcPr>
            <w:tcW w:w="487" w:type="pct"/>
            <w:vAlign w:val="center"/>
            <w:hideMark/>
          </w:tcPr>
          <w:p w14:paraId="1A10F571" w14:textId="77777777" w:rsidR="002F50E5" w:rsidRPr="0090244B" w:rsidRDefault="002F50E5" w:rsidP="009D6BF6">
            <w:pPr>
              <w:jc w:val="center"/>
              <w:rPr>
                <w:rFonts w:eastAsia="Times New Roman" w:cs="Arial"/>
                <w:sz w:val="20"/>
                <w:szCs w:val="20"/>
              </w:rPr>
            </w:pPr>
            <w:r w:rsidRPr="0090244B">
              <w:rPr>
                <w:rFonts w:eastAsia="Times New Roman" w:cs="Arial"/>
                <w:b/>
                <w:bCs/>
                <w:kern w:val="24"/>
                <w:sz w:val="20"/>
                <w:szCs w:val="20"/>
              </w:rPr>
              <w:t>8</w:t>
            </w:r>
          </w:p>
        </w:tc>
        <w:tc>
          <w:tcPr>
            <w:tcW w:w="291" w:type="pct"/>
            <w:vAlign w:val="center"/>
            <w:hideMark/>
          </w:tcPr>
          <w:p w14:paraId="17A4AD6B" w14:textId="58160FEC" w:rsidR="002F50E5" w:rsidRPr="004F68DC" w:rsidRDefault="00E6237C" w:rsidP="009D6BF6">
            <w:pPr>
              <w:jc w:val="center"/>
              <w:rPr>
                <w:rFonts w:eastAsia="Times New Roman" w:cs="Arial"/>
                <w:sz w:val="20"/>
                <w:szCs w:val="20"/>
              </w:rPr>
            </w:pPr>
            <w:r>
              <w:rPr>
                <w:rFonts w:eastAsia="Times New Roman" w:cs="Arial"/>
                <w:color w:val="000000" w:themeColor="dark1"/>
                <w:kern w:val="24"/>
                <w:sz w:val="20"/>
                <w:szCs w:val="20"/>
              </w:rPr>
              <w:t>35</w:t>
            </w:r>
          </w:p>
        </w:tc>
        <w:tc>
          <w:tcPr>
            <w:tcW w:w="623" w:type="pct"/>
            <w:vAlign w:val="center"/>
            <w:hideMark/>
          </w:tcPr>
          <w:p w14:paraId="239DB2A5" w14:textId="616DC0E6" w:rsidR="002F50E5" w:rsidRPr="004F68DC" w:rsidRDefault="00E6237C" w:rsidP="009D6BF6">
            <w:pPr>
              <w:jc w:val="center"/>
              <w:rPr>
                <w:rFonts w:eastAsia="Times New Roman" w:cs="Arial"/>
                <w:sz w:val="20"/>
                <w:szCs w:val="20"/>
              </w:rPr>
            </w:pPr>
            <w:r>
              <w:rPr>
                <w:rFonts w:eastAsia="Times New Roman" w:cs="Arial"/>
                <w:color w:val="000000" w:themeColor="dark1"/>
                <w:kern w:val="24"/>
                <w:sz w:val="20"/>
                <w:szCs w:val="20"/>
              </w:rPr>
              <w:t>35</w:t>
            </w:r>
          </w:p>
        </w:tc>
        <w:tc>
          <w:tcPr>
            <w:tcW w:w="588" w:type="pct"/>
            <w:vAlign w:val="center"/>
            <w:hideMark/>
          </w:tcPr>
          <w:p w14:paraId="73DB366F" w14:textId="4A8E3489" w:rsidR="002F50E5" w:rsidRPr="004F68DC" w:rsidRDefault="00E6237C" w:rsidP="009D6BF6">
            <w:pPr>
              <w:jc w:val="center"/>
              <w:rPr>
                <w:rFonts w:eastAsia="Times New Roman" w:cs="Arial"/>
                <w:sz w:val="20"/>
                <w:szCs w:val="20"/>
              </w:rPr>
            </w:pPr>
            <w:r>
              <w:rPr>
                <w:rFonts w:eastAsia="Times New Roman" w:cs="Arial"/>
                <w:color w:val="000000" w:themeColor="dark1"/>
                <w:kern w:val="24"/>
                <w:sz w:val="20"/>
                <w:szCs w:val="20"/>
              </w:rPr>
              <w:t>35</w:t>
            </w:r>
          </w:p>
        </w:tc>
        <w:tc>
          <w:tcPr>
            <w:tcW w:w="623" w:type="pct"/>
            <w:vAlign w:val="center"/>
            <w:hideMark/>
          </w:tcPr>
          <w:p w14:paraId="3BC44001" w14:textId="4C8244B5" w:rsidR="002F50E5" w:rsidRPr="004F68DC" w:rsidRDefault="00E6237C" w:rsidP="009D6BF6">
            <w:pPr>
              <w:jc w:val="center"/>
              <w:rPr>
                <w:rFonts w:eastAsia="Times New Roman" w:cs="Arial"/>
                <w:sz w:val="20"/>
                <w:szCs w:val="20"/>
              </w:rPr>
            </w:pPr>
            <w:r>
              <w:rPr>
                <w:rFonts w:eastAsia="Times New Roman" w:cs="Arial"/>
                <w:color w:val="000000" w:themeColor="dark1"/>
                <w:kern w:val="24"/>
                <w:sz w:val="20"/>
                <w:szCs w:val="20"/>
              </w:rPr>
              <w:t>35</w:t>
            </w:r>
          </w:p>
        </w:tc>
        <w:tc>
          <w:tcPr>
            <w:tcW w:w="588" w:type="pct"/>
            <w:vAlign w:val="center"/>
            <w:hideMark/>
          </w:tcPr>
          <w:p w14:paraId="72D82D9E" w14:textId="3C92C4E5" w:rsidR="002F50E5" w:rsidRPr="004F68DC" w:rsidRDefault="00E6237C" w:rsidP="009D6BF6">
            <w:pPr>
              <w:jc w:val="center"/>
              <w:rPr>
                <w:rFonts w:eastAsia="Times New Roman" w:cs="Arial"/>
                <w:sz w:val="20"/>
                <w:szCs w:val="20"/>
              </w:rPr>
            </w:pPr>
            <w:r>
              <w:rPr>
                <w:rFonts w:eastAsia="Times New Roman" w:cs="Arial"/>
                <w:color w:val="000000" w:themeColor="dark1"/>
                <w:kern w:val="24"/>
                <w:sz w:val="20"/>
                <w:szCs w:val="20"/>
              </w:rPr>
              <w:t>35</w:t>
            </w:r>
          </w:p>
        </w:tc>
        <w:tc>
          <w:tcPr>
            <w:tcW w:w="464" w:type="pct"/>
            <w:vAlign w:val="center"/>
            <w:hideMark/>
          </w:tcPr>
          <w:p w14:paraId="6A5AFCA2" w14:textId="659869AB" w:rsidR="002F50E5" w:rsidRPr="004F68DC" w:rsidRDefault="00E6237C" w:rsidP="009D6BF6">
            <w:pPr>
              <w:jc w:val="center"/>
              <w:rPr>
                <w:rFonts w:eastAsia="Times New Roman" w:cs="Arial"/>
                <w:sz w:val="20"/>
                <w:szCs w:val="20"/>
              </w:rPr>
            </w:pPr>
            <w:r>
              <w:rPr>
                <w:rFonts w:eastAsia="Times New Roman" w:cs="Arial"/>
                <w:color w:val="000000" w:themeColor="dark1"/>
                <w:kern w:val="24"/>
                <w:sz w:val="20"/>
                <w:szCs w:val="20"/>
              </w:rPr>
              <w:t>35</w:t>
            </w:r>
          </w:p>
        </w:tc>
        <w:tc>
          <w:tcPr>
            <w:tcW w:w="339" w:type="pct"/>
            <w:vAlign w:val="center"/>
            <w:hideMark/>
          </w:tcPr>
          <w:p w14:paraId="3F9AC4F8" w14:textId="231AB537" w:rsidR="002F50E5" w:rsidRPr="004F68DC" w:rsidRDefault="00E6237C" w:rsidP="009D6BF6">
            <w:pPr>
              <w:jc w:val="center"/>
              <w:rPr>
                <w:rFonts w:eastAsia="Times New Roman" w:cs="Arial"/>
                <w:sz w:val="20"/>
                <w:szCs w:val="20"/>
              </w:rPr>
            </w:pPr>
            <w:r>
              <w:rPr>
                <w:rFonts w:eastAsia="Times New Roman" w:cs="Arial"/>
                <w:color w:val="000000" w:themeColor="dark1"/>
                <w:kern w:val="24"/>
                <w:sz w:val="20"/>
                <w:szCs w:val="20"/>
              </w:rPr>
              <w:t>35</w:t>
            </w:r>
          </w:p>
        </w:tc>
        <w:tc>
          <w:tcPr>
            <w:tcW w:w="998" w:type="pct"/>
            <w:vAlign w:val="center"/>
            <w:hideMark/>
          </w:tcPr>
          <w:p w14:paraId="2F832A13"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exit ramp</w:t>
            </w:r>
          </w:p>
        </w:tc>
      </w:tr>
      <w:tr w:rsidR="002F50E5" w:rsidRPr="004F68DC" w14:paraId="6C760279" w14:textId="77777777" w:rsidTr="00423385">
        <w:trPr>
          <w:trHeight w:val="52"/>
        </w:trPr>
        <w:tc>
          <w:tcPr>
            <w:tcW w:w="487" w:type="pct"/>
            <w:vAlign w:val="center"/>
            <w:hideMark/>
          </w:tcPr>
          <w:p w14:paraId="399564C1" w14:textId="77777777" w:rsidR="002F50E5" w:rsidRPr="0090244B" w:rsidRDefault="002F50E5" w:rsidP="009D6BF6">
            <w:pPr>
              <w:jc w:val="center"/>
              <w:rPr>
                <w:rFonts w:eastAsia="Times New Roman" w:cs="Arial"/>
                <w:sz w:val="20"/>
                <w:szCs w:val="20"/>
              </w:rPr>
            </w:pPr>
            <w:r w:rsidRPr="0090244B">
              <w:rPr>
                <w:rFonts w:eastAsia="Times New Roman" w:cs="Arial"/>
                <w:b/>
                <w:bCs/>
                <w:kern w:val="24"/>
                <w:sz w:val="20"/>
                <w:szCs w:val="20"/>
              </w:rPr>
              <w:t>9</w:t>
            </w:r>
          </w:p>
        </w:tc>
        <w:tc>
          <w:tcPr>
            <w:tcW w:w="291" w:type="pct"/>
            <w:vAlign w:val="center"/>
            <w:hideMark/>
          </w:tcPr>
          <w:p w14:paraId="334715C2" w14:textId="52A6CEA1" w:rsidR="002F50E5" w:rsidRPr="004F68DC" w:rsidRDefault="00E6237C" w:rsidP="009D6BF6">
            <w:pPr>
              <w:jc w:val="center"/>
              <w:rPr>
                <w:rFonts w:eastAsia="Times New Roman" w:cs="Arial"/>
                <w:sz w:val="20"/>
                <w:szCs w:val="20"/>
              </w:rPr>
            </w:pPr>
            <w:r>
              <w:rPr>
                <w:rFonts w:eastAsia="Times New Roman" w:cs="Arial"/>
                <w:color w:val="000000" w:themeColor="dark1"/>
                <w:kern w:val="24"/>
                <w:sz w:val="20"/>
                <w:szCs w:val="20"/>
              </w:rPr>
              <w:t>35</w:t>
            </w:r>
          </w:p>
        </w:tc>
        <w:tc>
          <w:tcPr>
            <w:tcW w:w="623" w:type="pct"/>
            <w:vAlign w:val="center"/>
            <w:hideMark/>
          </w:tcPr>
          <w:p w14:paraId="491A7E8E" w14:textId="6451D38C" w:rsidR="002F50E5" w:rsidRPr="004F68DC" w:rsidRDefault="00E6237C" w:rsidP="009D6BF6">
            <w:pPr>
              <w:jc w:val="center"/>
              <w:rPr>
                <w:rFonts w:eastAsia="Times New Roman" w:cs="Arial"/>
                <w:sz w:val="20"/>
                <w:szCs w:val="20"/>
              </w:rPr>
            </w:pPr>
            <w:r>
              <w:rPr>
                <w:rFonts w:eastAsia="Times New Roman" w:cs="Arial"/>
                <w:color w:val="000000" w:themeColor="dark1"/>
                <w:kern w:val="24"/>
                <w:sz w:val="20"/>
                <w:szCs w:val="20"/>
              </w:rPr>
              <w:t>35</w:t>
            </w:r>
          </w:p>
        </w:tc>
        <w:tc>
          <w:tcPr>
            <w:tcW w:w="588" w:type="pct"/>
            <w:vAlign w:val="center"/>
            <w:hideMark/>
          </w:tcPr>
          <w:p w14:paraId="1875E794" w14:textId="322D92A1" w:rsidR="002F50E5" w:rsidRPr="004F68DC" w:rsidRDefault="00E6237C" w:rsidP="009D6BF6">
            <w:pPr>
              <w:jc w:val="center"/>
              <w:rPr>
                <w:rFonts w:eastAsia="Times New Roman" w:cs="Arial"/>
                <w:sz w:val="20"/>
                <w:szCs w:val="20"/>
              </w:rPr>
            </w:pPr>
            <w:r>
              <w:rPr>
                <w:rFonts w:eastAsia="Times New Roman" w:cs="Arial"/>
                <w:color w:val="000000" w:themeColor="dark1"/>
                <w:kern w:val="24"/>
                <w:sz w:val="20"/>
                <w:szCs w:val="20"/>
              </w:rPr>
              <w:t>35</w:t>
            </w:r>
          </w:p>
        </w:tc>
        <w:tc>
          <w:tcPr>
            <w:tcW w:w="623" w:type="pct"/>
            <w:vAlign w:val="center"/>
            <w:hideMark/>
          </w:tcPr>
          <w:p w14:paraId="7E41D202" w14:textId="195EEC21" w:rsidR="002F50E5" w:rsidRPr="004F68DC" w:rsidRDefault="00E6237C" w:rsidP="009D6BF6">
            <w:pPr>
              <w:jc w:val="center"/>
              <w:rPr>
                <w:rFonts w:eastAsia="Times New Roman" w:cs="Arial"/>
                <w:sz w:val="20"/>
                <w:szCs w:val="20"/>
              </w:rPr>
            </w:pPr>
            <w:r>
              <w:rPr>
                <w:rFonts w:eastAsia="Times New Roman" w:cs="Arial"/>
                <w:color w:val="000000" w:themeColor="dark1"/>
                <w:kern w:val="24"/>
                <w:sz w:val="20"/>
                <w:szCs w:val="20"/>
              </w:rPr>
              <w:t>35</w:t>
            </w:r>
          </w:p>
        </w:tc>
        <w:tc>
          <w:tcPr>
            <w:tcW w:w="588" w:type="pct"/>
            <w:vAlign w:val="center"/>
            <w:hideMark/>
          </w:tcPr>
          <w:p w14:paraId="3E228E3D" w14:textId="699565F5" w:rsidR="002F50E5" w:rsidRPr="004F68DC" w:rsidRDefault="00E6237C" w:rsidP="009D6BF6">
            <w:pPr>
              <w:jc w:val="center"/>
              <w:rPr>
                <w:rFonts w:eastAsia="Times New Roman" w:cs="Arial"/>
                <w:sz w:val="20"/>
                <w:szCs w:val="20"/>
              </w:rPr>
            </w:pPr>
            <w:r>
              <w:rPr>
                <w:rFonts w:eastAsia="Times New Roman" w:cs="Arial"/>
                <w:color w:val="000000" w:themeColor="dark1"/>
                <w:kern w:val="24"/>
                <w:sz w:val="20"/>
                <w:szCs w:val="20"/>
              </w:rPr>
              <w:t>35</w:t>
            </w:r>
          </w:p>
        </w:tc>
        <w:tc>
          <w:tcPr>
            <w:tcW w:w="464" w:type="pct"/>
            <w:vAlign w:val="center"/>
            <w:hideMark/>
          </w:tcPr>
          <w:p w14:paraId="4EB78935" w14:textId="23755C25" w:rsidR="002F50E5" w:rsidRPr="004F68DC" w:rsidRDefault="00E6237C" w:rsidP="009D6BF6">
            <w:pPr>
              <w:jc w:val="center"/>
              <w:rPr>
                <w:rFonts w:eastAsia="Times New Roman" w:cs="Arial"/>
                <w:sz w:val="20"/>
                <w:szCs w:val="20"/>
              </w:rPr>
            </w:pPr>
            <w:r>
              <w:rPr>
                <w:rFonts w:eastAsia="Times New Roman" w:cs="Arial"/>
                <w:color w:val="000000" w:themeColor="dark1"/>
                <w:kern w:val="24"/>
                <w:sz w:val="20"/>
                <w:szCs w:val="20"/>
              </w:rPr>
              <w:t>35</w:t>
            </w:r>
          </w:p>
        </w:tc>
        <w:tc>
          <w:tcPr>
            <w:tcW w:w="339" w:type="pct"/>
            <w:vAlign w:val="center"/>
            <w:hideMark/>
          </w:tcPr>
          <w:p w14:paraId="7217A84B" w14:textId="685CBFBF" w:rsidR="002F50E5" w:rsidRPr="004F68DC" w:rsidRDefault="00E6237C" w:rsidP="009D6BF6">
            <w:pPr>
              <w:jc w:val="center"/>
              <w:rPr>
                <w:rFonts w:eastAsia="Times New Roman" w:cs="Arial"/>
                <w:sz w:val="20"/>
                <w:szCs w:val="20"/>
              </w:rPr>
            </w:pPr>
            <w:r>
              <w:rPr>
                <w:rFonts w:eastAsia="Times New Roman" w:cs="Arial"/>
                <w:color w:val="000000" w:themeColor="dark1"/>
                <w:kern w:val="24"/>
                <w:sz w:val="20"/>
                <w:szCs w:val="20"/>
              </w:rPr>
              <w:t>35</w:t>
            </w:r>
          </w:p>
        </w:tc>
        <w:tc>
          <w:tcPr>
            <w:tcW w:w="998" w:type="pct"/>
            <w:vAlign w:val="center"/>
            <w:hideMark/>
          </w:tcPr>
          <w:p w14:paraId="10A0309F"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entrance ramp</w:t>
            </w:r>
          </w:p>
        </w:tc>
      </w:tr>
      <w:tr w:rsidR="002F50E5" w:rsidRPr="004F68DC" w14:paraId="3202C0C7" w14:textId="77777777" w:rsidTr="00423385">
        <w:trPr>
          <w:trHeight w:val="64"/>
        </w:trPr>
        <w:tc>
          <w:tcPr>
            <w:tcW w:w="487" w:type="pct"/>
            <w:vAlign w:val="center"/>
            <w:hideMark/>
          </w:tcPr>
          <w:p w14:paraId="0649DD70" w14:textId="77777777" w:rsidR="002F50E5" w:rsidRPr="0090244B" w:rsidRDefault="002F50E5" w:rsidP="009D6BF6">
            <w:pPr>
              <w:jc w:val="center"/>
              <w:rPr>
                <w:rFonts w:eastAsia="Times New Roman" w:cs="Arial"/>
                <w:sz w:val="20"/>
                <w:szCs w:val="20"/>
              </w:rPr>
            </w:pPr>
            <w:r w:rsidRPr="0090244B">
              <w:rPr>
                <w:rFonts w:eastAsia="Times New Roman" w:cs="Arial"/>
                <w:b/>
                <w:bCs/>
                <w:kern w:val="24"/>
                <w:sz w:val="20"/>
                <w:szCs w:val="20"/>
              </w:rPr>
              <w:t>10</w:t>
            </w:r>
          </w:p>
        </w:tc>
        <w:tc>
          <w:tcPr>
            <w:tcW w:w="291" w:type="pct"/>
            <w:vAlign w:val="center"/>
            <w:hideMark/>
          </w:tcPr>
          <w:p w14:paraId="5AC0C05E"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23</w:t>
            </w:r>
          </w:p>
        </w:tc>
        <w:tc>
          <w:tcPr>
            <w:tcW w:w="623" w:type="pct"/>
            <w:vAlign w:val="center"/>
            <w:hideMark/>
          </w:tcPr>
          <w:p w14:paraId="2FA0B635"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26</w:t>
            </w:r>
          </w:p>
        </w:tc>
        <w:tc>
          <w:tcPr>
            <w:tcW w:w="588" w:type="pct"/>
            <w:vAlign w:val="center"/>
            <w:hideMark/>
          </w:tcPr>
          <w:p w14:paraId="437AE3D9"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31</w:t>
            </w:r>
          </w:p>
        </w:tc>
        <w:tc>
          <w:tcPr>
            <w:tcW w:w="623" w:type="pct"/>
            <w:vAlign w:val="center"/>
            <w:hideMark/>
          </w:tcPr>
          <w:p w14:paraId="5C83D871"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35</w:t>
            </w:r>
          </w:p>
        </w:tc>
        <w:tc>
          <w:tcPr>
            <w:tcW w:w="588" w:type="pct"/>
            <w:vAlign w:val="center"/>
            <w:hideMark/>
          </w:tcPr>
          <w:p w14:paraId="4913545F"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41</w:t>
            </w:r>
          </w:p>
        </w:tc>
        <w:tc>
          <w:tcPr>
            <w:tcW w:w="464" w:type="pct"/>
            <w:vAlign w:val="center"/>
            <w:hideMark/>
          </w:tcPr>
          <w:p w14:paraId="05989AE1"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48</w:t>
            </w:r>
          </w:p>
        </w:tc>
        <w:tc>
          <w:tcPr>
            <w:tcW w:w="339" w:type="pct"/>
            <w:vAlign w:val="center"/>
            <w:hideMark/>
          </w:tcPr>
          <w:p w14:paraId="4A7A5F76"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53</w:t>
            </w:r>
          </w:p>
        </w:tc>
        <w:tc>
          <w:tcPr>
            <w:tcW w:w="998" w:type="pct"/>
            <w:vAlign w:val="center"/>
            <w:hideMark/>
          </w:tcPr>
          <w:p w14:paraId="53AD14C6"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principal arterial</w:t>
            </w:r>
          </w:p>
        </w:tc>
      </w:tr>
      <w:tr w:rsidR="002F50E5" w:rsidRPr="004F68DC" w14:paraId="027C7FFA" w14:textId="77777777" w:rsidTr="00423385">
        <w:trPr>
          <w:trHeight w:val="91"/>
        </w:trPr>
        <w:tc>
          <w:tcPr>
            <w:tcW w:w="487" w:type="pct"/>
            <w:vAlign w:val="center"/>
            <w:hideMark/>
          </w:tcPr>
          <w:p w14:paraId="2EAA6BC2" w14:textId="77777777" w:rsidR="002F50E5" w:rsidRPr="0090244B" w:rsidRDefault="002F50E5" w:rsidP="009D6BF6">
            <w:pPr>
              <w:jc w:val="center"/>
              <w:rPr>
                <w:rFonts w:eastAsia="Times New Roman" w:cs="Arial"/>
                <w:sz w:val="20"/>
                <w:szCs w:val="20"/>
              </w:rPr>
            </w:pPr>
            <w:r w:rsidRPr="0090244B">
              <w:rPr>
                <w:rFonts w:eastAsia="Times New Roman" w:cs="Arial"/>
                <w:b/>
                <w:bCs/>
                <w:kern w:val="24"/>
                <w:sz w:val="20"/>
                <w:szCs w:val="20"/>
              </w:rPr>
              <w:t>11</w:t>
            </w:r>
          </w:p>
        </w:tc>
        <w:tc>
          <w:tcPr>
            <w:tcW w:w="291" w:type="pct"/>
            <w:vAlign w:val="center"/>
            <w:hideMark/>
          </w:tcPr>
          <w:p w14:paraId="5AF4C6AB"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21</w:t>
            </w:r>
          </w:p>
        </w:tc>
        <w:tc>
          <w:tcPr>
            <w:tcW w:w="623" w:type="pct"/>
            <w:vAlign w:val="center"/>
            <w:hideMark/>
          </w:tcPr>
          <w:p w14:paraId="7B767C1D"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26</w:t>
            </w:r>
          </w:p>
        </w:tc>
        <w:tc>
          <w:tcPr>
            <w:tcW w:w="588" w:type="pct"/>
            <w:vAlign w:val="center"/>
            <w:hideMark/>
          </w:tcPr>
          <w:p w14:paraId="0B845741"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29</w:t>
            </w:r>
          </w:p>
        </w:tc>
        <w:tc>
          <w:tcPr>
            <w:tcW w:w="623" w:type="pct"/>
            <w:vAlign w:val="center"/>
            <w:hideMark/>
          </w:tcPr>
          <w:p w14:paraId="6F140FAF"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33</w:t>
            </w:r>
          </w:p>
        </w:tc>
        <w:tc>
          <w:tcPr>
            <w:tcW w:w="588" w:type="pct"/>
            <w:vAlign w:val="center"/>
            <w:hideMark/>
          </w:tcPr>
          <w:p w14:paraId="6FAA99D1"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38</w:t>
            </w:r>
          </w:p>
        </w:tc>
        <w:tc>
          <w:tcPr>
            <w:tcW w:w="464" w:type="pct"/>
            <w:vAlign w:val="center"/>
            <w:hideMark/>
          </w:tcPr>
          <w:p w14:paraId="7EDBE0D5"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43</w:t>
            </w:r>
          </w:p>
        </w:tc>
        <w:tc>
          <w:tcPr>
            <w:tcW w:w="339" w:type="pct"/>
            <w:vAlign w:val="center"/>
            <w:hideMark/>
          </w:tcPr>
          <w:p w14:paraId="544D3999"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48</w:t>
            </w:r>
          </w:p>
        </w:tc>
        <w:tc>
          <w:tcPr>
            <w:tcW w:w="998" w:type="pct"/>
            <w:vAlign w:val="center"/>
            <w:hideMark/>
          </w:tcPr>
          <w:p w14:paraId="31A783EA"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minor arterial</w:t>
            </w:r>
          </w:p>
        </w:tc>
      </w:tr>
      <w:tr w:rsidR="002F50E5" w:rsidRPr="004F68DC" w14:paraId="43A5E301" w14:textId="77777777" w:rsidTr="00423385">
        <w:trPr>
          <w:trHeight w:val="52"/>
        </w:trPr>
        <w:tc>
          <w:tcPr>
            <w:tcW w:w="487" w:type="pct"/>
            <w:vAlign w:val="center"/>
            <w:hideMark/>
          </w:tcPr>
          <w:p w14:paraId="7D4656BC" w14:textId="77777777" w:rsidR="002F50E5" w:rsidRPr="0090244B" w:rsidRDefault="002F50E5" w:rsidP="009D6BF6">
            <w:pPr>
              <w:jc w:val="center"/>
              <w:rPr>
                <w:rFonts w:eastAsia="Times New Roman" w:cs="Arial"/>
                <w:sz w:val="20"/>
                <w:szCs w:val="20"/>
              </w:rPr>
            </w:pPr>
            <w:r w:rsidRPr="0090244B">
              <w:rPr>
                <w:rFonts w:eastAsia="Times New Roman" w:cs="Arial"/>
                <w:b/>
                <w:bCs/>
                <w:kern w:val="24"/>
                <w:sz w:val="20"/>
                <w:szCs w:val="20"/>
              </w:rPr>
              <w:t>12</w:t>
            </w:r>
          </w:p>
        </w:tc>
        <w:tc>
          <w:tcPr>
            <w:tcW w:w="291" w:type="pct"/>
            <w:vAlign w:val="center"/>
            <w:hideMark/>
          </w:tcPr>
          <w:p w14:paraId="0E7A5DFE"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21</w:t>
            </w:r>
          </w:p>
        </w:tc>
        <w:tc>
          <w:tcPr>
            <w:tcW w:w="623" w:type="pct"/>
            <w:vAlign w:val="center"/>
            <w:hideMark/>
          </w:tcPr>
          <w:p w14:paraId="07748EDA"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26</w:t>
            </w:r>
          </w:p>
        </w:tc>
        <w:tc>
          <w:tcPr>
            <w:tcW w:w="588" w:type="pct"/>
            <w:vAlign w:val="center"/>
            <w:hideMark/>
          </w:tcPr>
          <w:p w14:paraId="1D98EFCE"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29</w:t>
            </w:r>
          </w:p>
        </w:tc>
        <w:tc>
          <w:tcPr>
            <w:tcW w:w="623" w:type="pct"/>
            <w:vAlign w:val="center"/>
            <w:hideMark/>
          </w:tcPr>
          <w:p w14:paraId="0F346491"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33</w:t>
            </w:r>
          </w:p>
        </w:tc>
        <w:tc>
          <w:tcPr>
            <w:tcW w:w="588" w:type="pct"/>
            <w:vAlign w:val="center"/>
            <w:hideMark/>
          </w:tcPr>
          <w:p w14:paraId="6802C107"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38</w:t>
            </w:r>
          </w:p>
        </w:tc>
        <w:tc>
          <w:tcPr>
            <w:tcW w:w="464" w:type="pct"/>
            <w:vAlign w:val="center"/>
            <w:hideMark/>
          </w:tcPr>
          <w:p w14:paraId="4CB405C7"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43</w:t>
            </w:r>
          </w:p>
        </w:tc>
        <w:tc>
          <w:tcPr>
            <w:tcW w:w="339" w:type="pct"/>
            <w:vAlign w:val="center"/>
            <w:hideMark/>
          </w:tcPr>
          <w:p w14:paraId="314E9423"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48</w:t>
            </w:r>
          </w:p>
        </w:tc>
        <w:tc>
          <w:tcPr>
            <w:tcW w:w="998" w:type="pct"/>
            <w:vAlign w:val="center"/>
            <w:hideMark/>
          </w:tcPr>
          <w:p w14:paraId="2E95CB52"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arterial HOV</w:t>
            </w:r>
          </w:p>
        </w:tc>
      </w:tr>
      <w:tr w:rsidR="002F50E5" w:rsidRPr="004F68DC" w14:paraId="052D8D72" w14:textId="77777777" w:rsidTr="00423385">
        <w:trPr>
          <w:trHeight w:val="163"/>
        </w:trPr>
        <w:tc>
          <w:tcPr>
            <w:tcW w:w="487" w:type="pct"/>
            <w:vAlign w:val="center"/>
            <w:hideMark/>
          </w:tcPr>
          <w:p w14:paraId="4E026B83" w14:textId="77777777" w:rsidR="002F50E5" w:rsidRPr="0090244B" w:rsidRDefault="002F50E5" w:rsidP="009D6BF6">
            <w:pPr>
              <w:jc w:val="center"/>
              <w:rPr>
                <w:rFonts w:eastAsia="Times New Roman" w:cs="Arial"/>
                <w:sz w:val="20"/>
                <w:szCs w:val="20"/>
              </w:rPr>
            </w:pPr>
            <w:r w:rsidRPr="0090244B">
              <w:rPr>
                <w:rFonts w:eastAsia="Times New Roman" w:cs="Arial"/>
                <w:b/>
                <w:bCs/>
                <w:kern w:val="24"/>
                <w:sz w:val="20"/>
                <w:szCs w:val="20"/>
              </w:rPr>
              <w:t>13</w:t>
            </w:r>
          </w:p>
        </w:tc>
        <w:tc>
          <w:tcPr>
            <w:tcW w:w="291" w:type="pct"/>
            <w:vAlign w:val="center"/>
            <w:hideMark/>
          </w:tcPr>
          <w:p w14:paraId="4DE36BBD"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21</w:t>
            </w:r>
          </w:p>
        </w:tc>
        <w:tc>
          <w:tcPr>
            <w:tcW w:w="623" w:type="pct"/>
            <w:vAlign w:val="center"/>
            <w:hideMark/>
          </w:tcPr>
          <w:p w14:paraId="28A901C3"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26</w:t>
            </w:r>
          </w:p>
        </w:tc>
        <w:tc>
          <w:tcPr>
            <w:tcW w:w="588" w:type="pct"/>
            <w:vAlign w:val="center"/>
            <w:hideMark/>
          </w:tcPr>
          <w:p w14:paraId="76B54FFB"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29</w:t>
            </w:r>
          </w:p>
        </w:tc>
        <w:tc>
          <w:tcPr>
            <w:tcW w:w="623" w:type="pct"/>
            <w:vAlign w:val="center"/>
            <w:hideMark/>
          </w:tcPr>
          <w:p w14:paraId="24CA4E97"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33</w:t>
            </w:r>
          </w:p>
        </w:tc>
        <w:tc>
          <w:tcPr>
            <w:tcW w:w="588" w:type="pct"/>
            <w:vAlign w:val="center"/>
            <w:hideMark/>
          </w:tcPr>
          <w:p w14:paraId="0035BAD2"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38</w:t>
            </w:r>
          </w:p>
        </w:tc>
        <w:tc>
          <w:tcPr>
            <w:tcW w:w="464" w:type="pct"/>
            <w:vAlign w:val="center"/>
            <w:hideMark/>
          </w:tcPr>
          <w:p w14:paraId="284CB41A"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43</w:t>
            </w:r>
          </w:p>
        </w:tc>
        <w:tc>
          <w:tcPr>
            <w:tcW w:w="339" w:type="pct"/>
            <w:vAlign w:val="center"/>
            <w:hideMark/>
          </w:tcPr>
          <w:p w14:paraId="21A60A90"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48</w:t>
            </w:r>
          </w:p>
        </w:tc>
        <w:tc>
          <w:tcPr>
            <w:tcW w:w="998" w:type="pct"/>
            <w:vAlign w:val="center"/>
            <w:hideMark/>
          </w:tcPr>
          <w:p w14:paraId="79EFF240"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arterial truck only</w:t>
            </w:r>
          </w:p>
        </w:tc>
      </w:tr>
      <w:tr w:rsidR="002F50E5" w:rsidRPr="004F68DC" w14:paraId="1B01ECE0" w14:textId="77777777" w:rsidTr="00423385">
        <w:trPr>
          <w:trHeight w:val="280"/>
        </w:trPr>
        <w:tc>
          <w:tcPr>
            <w:tcW w:w="487" w:type="pct"/>
            <w:vAlign w:val="center"/>
            <w:hideMark/>
          </w:tcPr>
          <w:p w14:paraId="3F97FC32" w14:textId="77777777" w:rsidR="002F50E5" w:rsidRPr="0090244B" w:rsidRDefault="002F50E5" w:rsidP="009D6BF6">
            <w:pPr>
              <w:jc w:val="center"/>
              <w:rPr>
                <w:rFonts w:eastAsia="Times New Roman" w:cs="Arial"/>
                <w:sz w:val="20"/>
                <w:szCs w:val="20"/>
              </w:rPr>
            </w:pPr>
            <w:r w:rsidRPr="0090244B">
              <w:rPr>
                <w:rFonts w:eastAsia="Times New Roman" w:cs="Arial"/>
                <w:b/>
                <w:bCs/>
                <w:kern w:val="24"/>
                <w:sz w:val="20"/>
                <w:szCs w:val="20"/>
              </w:rPr>
              <w:t>14</w:t>
            </w:r>
          </w:p>
        </w:tc>
        <w:tc>
          <w:tcPr>
            <w:tcW w:w="291" w:type="pct"/>
            <w:vAlign w:val="center"/>
            <w:hideMark/>
          </w:tcPr>
          <w:p w14:paraId="44B2E354"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17</w:t>
            </w:r>
          </w:p>
        </w:tc>
        <w:tc>
          <w:tcPr>
            <w:tcW w:w="623" w:type="pct"/>
            <w:vAlign w:val="center"/>
            <w:hideMark/>
          </w:tcPr>
          <w:p w14:paraId="1DC7ED34"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23</w:t>
            </w:r>
          </w:p>
        </w:tc>
        <w:tc>
          <w:tcPr>
            <w:tcW w:w="588" w:type="pct"/>
            <w:vAlign w:val="center"/>
            <w:hideMark/>
          </w:tcPr>
          <w:p w14:paraId="19E395A5"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24</w:t>
            </w:r>
          </w:p>
        </w:tc>
        <w:tc>
          <w:tcPr>
            <w:tcW w:w="623" w:type="pct"/>
            <w:vAlign w:val="center"/>
            <w:hideMark/>
          </w:tcPr>
          <w:p w14:paraId="4AF0A5CB"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26</w:t>
            </w:r>
          </w:p>
        </w:tc>
        <w:tc>
          <w:tcPr>
            <w:tcW w:w="588" w:type="pct"/>
            <w:vAlign w:val="center"/>
            <w:hideMark/>
          </w:tcPr>
          <w:p w14:paraId="0D154832"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30</w:t>
            </w:r>
          </w:p>
        </w:tc>
        <w:tc>
          <w:tcPr>
            <w:tcW w:w="464" w:type="pct"/>
            <w:vAlign w:val="center"/>
            <w:hideMark/>
          </w:tcPr>
          <w:p w14:paraId="047F6BC7"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35</w:t>
            </w:r>
          </w:p>
        </w:tc>
        <w:tc>
          <w:tcPr>
            <w:tcW w:w="339" w:type="pct"/>
            <w:vAlign w:val="center"/>
            <w:hideMark/>
          </w:tcPr>
          <w:p w14:paraId="27565AF4"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45</w:t>
            </w:r>
          </w:p>
        </w:tc>
        <w:tc>
          <w:tcPr>
            <w:tcW w:w="998" w:type="pct"/>
            <w:vAlign w:val="center"/>
            <w:hideMark/>
          </w:tcPr>
          <w:p w14:paraId="36EC1C2E" w14:textId="77777777" w:rsidR="002F50E5" w:rsidRPr="004F68DC" w:rsidRDefault="002F50E5" w:rsidP="009D6BF6">
            <w:pPr>
              <w:jc w:val="center"/>
              <w:rPr>
                <w:rFonts w:eastAsia="Times New Roman" w:cs="Arial"/>
                <w:sz w:val="20"/>
                <w:szCs w:val="20"/>
              </w:rPr>
            </w:pPr>
            <w:r w:rsidRPr="004F68DC">
              <w:rPr>
                <w:rFonts w:eastAsia="Times New Roman" w:cs="Arial"/>
                <w:color w:val="000000" w:themeColor="dark1"/>
                <w:kern w:val="24"/>
                <w:sz w:val="20"/>
                <w:szCs w:val="20"/>
              </w:rPr>
              <w:t>collector</w:t>
            </w:r>
          </w:p>
        </w:tc>
      </w:tr>
    </w:tbl>
    <w:p w14:paraId="33E910E3" w14:textId="77777777" w:rsidR="002F50E5" w:rsidRDefault="002F50E5" w:rsidP="002F50E5"/>
    <w:p w14:paraId="0F39A132" w14:textId="77777777" w:rsidR="002F50E5" w:rsidRPr="004D083C" w:rsidRDefault="002F50E5" w:rsidP="002F50E5">
      <w:pPr>
        <w:pStyle w:val="NoSpacing"/>
        <w:numPr>
          <w:ilvl w:val="0"/>
          <w:numId w:val="5"/>
        </w:numPr>
        <w:ind w:left="360"/>
        <w:rPr>
          <w:rStyle w:val="Strong"/>
          <w:rFonts w:asciiTheme="minorHAnsi" w:hAnsiTheme="minorHAnsi" w:cstheme="minorHAnsi"/>
          <w:b w:val="0"/>
        </w:rPr>
      </w:pPr>
      <w:r w:rsidRPr="004D083C">
        <w:rPr>
          <w:rStyle w:val="Strong"/>
          <w:rFonts w:asciiTheme="minorHAnsi" w:hAnsiTheme="minorHAnsi" w:cstheme="minorHAnsi"/>
          <w:b w:val="0"/>
        </w:rPr>
        <w:t>Transit Modeling</w:t>
      </w:r>
    </w:p>
    <w:p w14:paraId="30E9AEA4" w14:textId="195CA1C7" w:rsidR="002F50E5" w:rsidRPr="004D083C" w:rsidRDefault="002F50E5" w:rsidP="002F50E5">
      <w:pPr>
        <w:pStyle w:val="NoSpacing"/>
        <w:numPr>
          <w:ilvl w:val="1"/>
          <w:numId w:val="5"/>
        </w:numPr>
        <w:rPr>
          <w:rStyle w:val="Strong"/>
          <w:rFonts w:asciiTheme="minorHAnsi" w:hAnsiTheme="minorHAnsi" w:cstheme="minorHAnsi"/>
          <w:b w:val="0"/>
        </w:rPr>
      </w:pPr>
      <w:r w:rsidRPr="004D083C">
        <w:rPr>
          <w:rStyle w:val="Strong"/>
          <w:rFonts w:asciiTheme="minorHAnsi" w:hAnsiTheme="minorHAnsi" w:cstheme="minorHAnsi"/>
          <w:b w:val="0"/>
        </w:rPr>
        <w:t xml:space="preserve">Model </w:t>
      </w:r>
      <w:r w:rsidR="000C3919">
        <w:rPr>
          <w:rStyle w:val="Strong"/>
          <w:rFonts w:asciiTheme="minorHAnsi" w:hAnsiTheme="minorHAnsi" w:cstheme="minorHAnsi"/>
          <w:b w:val="0"/>
        </w:rPr>
        <w:t>calibrated/</w:t>
      </w:r>
      <w:r w:rsidR="008763EE">
        <w:rPr>
          <w:rStyle w:val="Strong"/>
          <w:rFonts w:asciiTheme="minorHAnsi" w:hAnsiTheme="minorHAnsi" w:cstheme="minorHAnsi"/>
          <w:b w:val="0"/>
        </w:rPr>
        <w:t>v</w:t>
      </w:r>
      <w:r w:rsidRPr="004D083C">
        <w:rPr>
          <w:rStyle w:val="Strong"/>
          <w:rFonts w:asciiTheme="minorHAnsi" w:hAnsiTheme="minorHAnsi" w:cstheme="minorHAnsi"/>
          <w:b w:val="0"/>
        </w:rPr>
        <w:t>a</w:t>
      </w:r>
      <w:r w:rsidR="008763EE">
        <w:rPr>
          <w:rStyle w:val="Strong"/>
          <w:rFonts w:asciiTheme="minorHAnsi" w:hAnsiTheme="minorHAnsi" w:cstheme="minorHAnsi"/>
          <w:b w:val="0"/>
        </w:rPr>
        <w:t>lida</w:t>
      </w:r>
      <w:r w:rsidRPr="004D083C">
        <w:rPr>
          <w:rStyle w:val="Strong"/>
          <w:rFonts w:asciiTheme="minorHAnsi" w:hAnsiTheme="minorHAnsi" w:cstheme="minorHAnsi"/>
          <w:b w:val="0"/>
        </w:rPr>
        <w:t>ted to 201</w:t>
      </w:r>
      <w:r w:rsidR="008763EE">
        <w:rPr>
          <w:rStyle w:val="Strong"/>
          <w:rFonts w:asciiTheme="minorHAnsi" w:hAnsiTheme="minorHAnsi" w:cstheme="minorHAnsi"/>
          <w:b w:val="0"/>
        </w:rPr>
        <w:t>5</w:t>
      </w:r>
      <w:r w:rsidRPr="004D083C">
        <w:rPr>
          <w:rStyle w:val="Strong"/>
          <w:rFonts w:asciiTheme="minorHAnsi" w:hAnsiTheme="minorHAnsi" w:cstheme="minorHAnsi"/>
          <w:b w:val="0"/>
        </w:rPr>
        <w:t xml:space="preserve"> transit ridership </w:t>
      </w:r>
      <w:r w:rsidR="00C87200">
        <w:rPr>
          <w:rStyle w:val="Strong"/>
          <w:rFonts w:asciiTheme="minorHAnsi" w:hAnsiTheme="minorHAnsi" w:cstheme="minorHAnsi"/>
          <w:b w:val="0"/>
        </w:rPr>
        <w:t>empirical observation</w:t>
      </w:r>
      <w:r w:rsidRPr="004D083C">
        <w:rPr>
          <w:rStyle w:val="Strong"/>
          <w:rFonts w:asciiTheme="minorHAnsi" w:hAnsiTheme="minorHAnsi" w:cstheme="minorHAnsi"/>
          <w:b w:val="0"/>
        </w:rPr>
        <w:t xml:space="preserve">s provided by transit </w:t>
      </w:r>
      <w:proofErr w:type="gramStart"/>
      <w:r w:rsidRPr="004D083C">
        <w:rPr>
          <w:rStyle w:val="Strong"/>
          <w:rFonts w:asciiTheme="minorHAnsi" w:hAnsiTheme="minorHAnsi" w:cstheme="minorHAnsi"/>
          <w:b w:val="0"/>
        </w:rPr>
        <w:t>operators</w:t>
      </w:r>
      <w:proofErr w:type="gramEnd"/>
    </w:p>
    <w:p w14:paraId="0FDD9B41" w14:textId="1CDEB889" w:rsidR="002F50E5" w:rsidRPr="004D083C" w:rsidRDefault="002F50E5" w:rsidP="002F50E5">
      <w:pPr>
        <w:pStyle w:val="NoSpacing"/>
        <w:numPr>
          <w:ilvl w:val="1"/>
          <w:numId w:val="5"/>
        </w:numPr>
        <w:rPr>
          <w:rFonts w:asciiTheme="minorHAnsi" w:hAnsiTheme="minorHAnsi" w:cstheme="minorHAnsi"/>
          <w:bCs/>
        </w:rPr>
      </w:pPr>
      <w:r w:rsidRPr="004D083C">
        <w:rPr>
          <w:rStyle w:val="Strong"/>
          <w:rFonts w:asciiTheme="minorHAnsi" w:hAnsiTheme="minorHAnsi" w:cstheme="minorHAnsi"/>
          <w:b w:val="0"/>
        </w:rPr>
        <w:t xml:space="preserve">Reflects results from </w:t>
      </w:r>
      <w:r w:rsidRPr="004D083C">
        <w:rPr>
          <w:rFonts w:asciiTheme="minorHAnsi" w:hAnsiTheme="minorHAnsi" w:cstheme="minorHAnsi"/>
          <w:bCs/>
        </w:rPr>
        <w:t xml:space="preserve">the 2009-2010 </w:t>
      </w:r>
      <w:r w:rsidRPr="004D083C">
        <w:rPr>
          <w:rStyle w:val="Strong"/>
          <w:rFonts w:asciiTheme="minorHAnsi" w:hAnsiTheme="minorHAnsi" w:cstheme="minorHAnsi"/>
          <w:b w:val="0"/>
        </w:rPr>
        <w:t>Transit On</w:t>
      </w:r>
      <w:r w:rsidR="004D083C">
        <w:rPr>
          <w:rStyle w:val="Strong"/>
          <w:rFonts w:asciiTheme="minorHAnsi" w:hAnsiTheme="minorHAnsi" w:cstheme="minorHAnsi"/>
          <w:b w:val="0"/>
        </w:rPr>
        <w:t>-</w:t>
      </w:r>
      <w:r w:rsidRPr="004D083C">
        <w:rPr>
          <w:rStyle w:val="Strong"/>
          <w:rFonts w:asciiTheme="minorHAnsi" w:hAnsiTheme="minorHAnsi" w:cstheme="minorHAnsi"/>
          <w:b w:val="0"/>
        </w:rPr>
        <w:t>Board Survey</w:t>
      </w:r>
      <w:r w:rsidR="008763EE">
        <w:rPr>
          <w:rStyle w:val="Strong"/>
          <w:rFonts w:asciiTheme="minorHAnsi" w:hAnsiTheme="minorHAnsi" w:cstheme="minorHAnsi"/>
          <w:b w:val="0"/>
        </w:rPr>
        <w:t xml:space="preserve">, re-expanded to </w:t>
      </w:r>
      <w:proofErr w:type="gramStart"/>
      <w:r w:rsidR="008763EE">
        <w:rPr>
          <w:rStyle w:val="Strong"/>
          <w:rFonts w:asciiTheme="minorHAnsi" w:hAnsiTheme="minorHAnsi" w:cstheme="minorHAnsi"/>
          <w:b w:val="0"/>
        </w:rPr>
        <w:t>2015</w:t>
      </w:r>
      <w:proofErr w:type="gramEnd"/>
    </w:p>
    <w:p w14:paraId="4399BFA4" w14:textId="77777777" w:rsidR="002F50E5" w:rsidRPr="004D083C" w:rsidRDefault="002F50E5" w:rsidP="002F50E5">
      <w:pPr>
        <w:pStyle w:val="NoSpacing"/>
        <w:numPr>
          <w:ilvl w:val="1"/>
          <w:numId w:val="5"/>
        </w:numPr>
        <w:rPr>
          <w:rStyle w:val="Strong"/>
          <w:rFonts w:asciiTheme="minorHAnsi" w:hAnsiTheme="minorHAnsi" w:cstheme="minorHAnsi"/>
          <w:b w:val="0"/>
        </w:rPr>
      </w:pPr>
      <w:r w:rsidRPr="004D083C">
        <w:rPr>
          <w:rStyle w:val="Strong"/>
          <w:rFonts w:asciiTheme="minorHAnsi" w:hAnsiTheme="minorHAnsi" w:cstheme="minorHAnsi"/>
          <w:b w:val="0"/>
        </w:rPr>
        <w:t xml:space="preserve">Routes updated to reflect current operating </w:t>
      </w:r>
      <w:proofErr w:type="gramStart"/>
      <w:r w:rsidRPr="004D083C">
        <w:rPr>
          <w:rStyle w:val="Strong"/>
          <w:rFonts w:asciiTheme="minorHAnsi" w:hAnsiTheme="minorHAnsi" w:cstheme="minorHAnsi"/>
          <w:b w:val="0"/>
        </w:rPr>
        <w:t>plans</w:t>
      </w:r>
      <w:proofErr w:type="gramEnd"/>
    </w:p>
    <w:p w14:paraId="7C59C4CD" w14:textId="77777777" w:rsidR="002F50E5" w:rsidRPr="004D083C" w:rsidRDefault="002F50E5" w:rsidP="002F50E5">
      <w:pPr>
        <w:pStyle w:val="NoSpacing"/>
        <w:numPr>
          <w:ilvl w:val="1"/>
          <w:numId w:val="5"/>
        </w:numPr>
        <w:ind w:left="1080" w:firstLine="0"/>
        <w:rPr>
          <w:rStyle w:val="Strong"/>
          <w:rFonts w:asciiTheme="minorHAnsi" w:hAnsiTheme="minorHAnsi" w:cstheme="minorHAnsi"/>
          <w:b w:val="0"/>
        </w:rPr>
      </w:pPr>
      <w:r w:rsidRPr="004D083C">
        <w:rPr>
          <w:rStyle w:val="Strong"/>
          <w:rFonts w:asciiTheme="minorHAnsi" w:hAnsiTheme="minorHAnsi" w:cstheme="minorHAnsi"/>
          <w:b w:val="0"/>
        </w:rPr>
        <w:t xml:space="preserve">Transit mode split is estimated using the mode choice </w:t>
      </w:r>
      <w:proofErr w:type="gramStart"/>
      <w:r w:rsidRPr="004D083C">
        <w:rPr>
          <w:rStyle w:val="Strong"/>
          <w:rFonts w:asciiTheme="minorHAnsi" w:hAnsiTheme="minorHAnsi" w:cstheme="minorHAnsi"/>
          <w:b w:val="0"/>
        </w:rPr>
        <w:t>model</w:t>
      </w:r>
      <w:proofErr w:type="gramEnd"/>
      <w:r w:rsidRPr="004D083C">
        <w:rPr>
          <w:rStyle w:val="Strong"/>
          <w:rFonts w:asciiTheme="minorHAnsi" w:hAnsiTheme="minorHAnsi" w:cstheme="minorHAnsi"/>
          <w:b w:val="0"/>
        </w:rPr>
        <w:t xml:space="preserve"> </w:t>
      </w:r>
    </w:p>
    <w:p w14:paraId="196B12E9" w14:textId="3E14428F" w:rsidR="002F50E5" w:rsidRPr="004D083C" w:rsidRDefault="002F50E5" w:rsidP="00A703D7">
      <w:pPr>
        <w:pStyle w:val="NoSpacing"/>
        <w:numPr>
          <w:ilvl w:val="2"/>
          <w:numId w:val="5"/>
        </w:numPr>
        <w:rPr>
          <w:rStyle w:val="Strong"/>
          <w:rFonts w:asciiTheme="minorHAnsi" w:eastAsiaTheme="minorEastAsia" w:hAnsiTheme="minorHAnsi" w:cstheme="minorHAnsi"/>
          <w:b w:val="0"/>
        </w:rPr>
      </w:pPr>
      <w:r w:rsidRPr="004D083C">
        <w:rPr>
          <w:rStyle w:val="Strong"/>
          <w:rFonts w:asciiTheme="minorHAnsi" w:hAnsiTheme="minorHAnsi" w:cstheme="minorHAnsi"/>
          <w:b w:val="0"/>
        </w:rPr>
        <w:t xml:space="preserve">Estimates individual modal trips from the person trip </w:t>
      </w:r>
      <w:proofErr w:type="gramStart"/>
      <w:r w:rsidRPr="004D083C">
        <w:rPr>
          <w:rStyle w:val="Strong"/>
          <w:rFonts w:asciiTheme="minorHAnsi" w:hAnsiTheme="minorHAnsi" w:cstheme="minorHAnsi"/>
          <w:b w:val="0"/>
        </w:rPr>
        <w:t>movements</w:t>
      </w:r>
      <w:proofErr w:type="gramEnd"/>
      <w:r w:rsidRPr="004D083C">
        <w:rPr>
          <w:rStyle w:val="Strong"/>
          <w:rFonts w:asciiTheme="minorHAnsi" w:hAnsiTheme="minorHAnsi" w:cstheme="minorHAnsi"/>
          <w:b w:val="0"/>
        </w:rPr>
        <w:t xml:space="preserve"> </w:t>
      </w:r>
    </w:p>
    <w:p w14:paraId="3BC13622" w14:textId="77777777" w:rsidR="002F50E5" w:rsidRPr="004D083C" w:rsidRDefault="002F50E5" w:rsidP="002F50E5">
      <w:pPr>
        <w:pStyle w:val="NoSpacing"/>
        <w:numPr>
          <w:ilvl w:val="2"/>
          <w:numId w:val="5"/>
        </w:numPr>
        <w:rPr>
          <w:rStyle w:val="Strong"/>
          <w:rFonts w:asciiTheme="minorHAnsi" w:hAnsiTheme="minorHAnsi" w:cstheme="minorHAnsi"/>
          <w:b w:val="0"/>
        </w:rPr>
      </w:pPr>
      <w:r w:rsidRPr="004D083C">
        <w:rPr>
          <w:rStyle w:val="Strong"/>
          <w:rFonts w:asciiTheme="minorHAnsi" w:hAnsiTheme="minorHAnsi" w:cstheme="minorHAnsi"/>
          <w:b w:val="0"/>
        </w:rPr>
        <w:t>Composed of 15 modes, including auto by occupancy and toll/non-toll choice, walk and bike non-motorized modes, and walk and drive access to different transit line-haul modes:</w:t>
      </w:r>
    </w:p>
    <w:p w14:paraId="7E4686BF" w14:textId="41455AF7"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Auto SOV</w:t>
      </w:r>
      <w:r w:rsidR="00C903F1">
        <w:rPr>
          <w:rStyle w:val="Strong"/>
          <w:rFonts w:asciiTheme="minorHAnsi" w:hAnsiTheme="minorHAnsi" w:cstheme="minorHAnsi"/>
          <w:b w:val="0"/>
        </w:rPr>
        <w:t xml:space="preserve"> Drive Alone</w:t>
      </w:r>
      <w:r w:rsidRPr="004D083C">
        <w:rPr>
          <w:rStyle w:val="Strong"/>
          <w:rFonts w:asciiTheme="minorHAnsi" w:hAnsiTheme="minorHAnsi" w:cstheme="minorHAnsi"/>
          <w:b w:val="0"/>
        </w:rPr>
        <w:t xml:space="preserve"> (Free)</w:t>
      </w:r>
    </w:p>
    <w:p w14:paraId="72AC49C4" w14:textId="5EF3E6D2"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Auto SOV</w:t>
      </w:r>
      <w:r w:rsidR="00C903F1">
        <w:rPr>
          <w:rStyle w:val="Strong"/>
          <w:rFonts w:asciiTheme="minorHAnsi" w:hAnsiTheme="minorHAnsi" w:cstheme="minorHAnsi"/>
          <w:b w:val="0"/>
        </w:rPr>
        <w:t xml:space="preserve"> Drive Alone</w:t>
      </w:r>
      <w:r w:rsidRPr="004D083C">
        <w:rPr>
          <w:rStyle w:val="Strong"/>
          <w:rFonts w:asciiTheme="minorHAnsi" w:hAnsiTheme="minorHAnsi" w:cstheme="minorHAnsi"/>
          <w:b w:val="0"/>
        </w:rPr>
        <w:t xml:space="preserve"> (Pay) </w:t>
      </w:r>
    </w:p>
    <w:p w14:paraId="5696D21F" w14:textId="1A402119"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Auto 2-Person</w:t>
      </w:r>
      <w:r w:rsidR="00C903F1">
        <w:rPr>
          <w:rStyle w:val="Strong"/>
          <w:rFonts w:asciiTheme="minorHAnsi" w:hAnsiTheme="minorHAnsi" w:cstheme="minorHAnsi"/>
          <w:b w:val="0"/>
        </w:rPr>
        <w:t xml:space="preserve"> Carpool</w:t>
      </w:r>
      <w:r w:rsidRPr="004D083C">
        <w:rPr>
          <w:rStyle w:val="Strong"/>
          <w:rFonts w:asciiTheme="minorHAnsi" w:hAnsiTheme="minorHAnsi" w:cstheme="minorHAnsi"/>
          <w:b w:val="0"/>
        </w:rPr>
        <w:t xml:space="preserve"> (Free)</w:t>
      </w:r>
    </w:p>
    <w:p w14:paraId="7307DB15" w14:textId="2F6D7E20"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 xml:space="preserve">Auto 2-Person </w:t>
      </w:r>
      <w:r w:rsidR="00C903F1">
        <w:rPr>
          <w:rStyle w:val="Strong"/>
          <w:rFonts w:asciiTheme="minorHAnsi" w:hAnsiTheme="minorHAnsi" w:cstheme="minorHAnsi"/>
          <w:b w:val="0"/>
        </w:rPr>
        <w:t xml:space="preserve">Carpool </w:t>
      </w:r>
      <w:r w:rsidRPr="004D083C">
        <w:rPr>
          <w:rStyle w:val="Strong"/>
          <w:rFonts w:asciiTheme="minorHAnsi" w:hAnsiTheme="minorHAnsi" w:cstheme="minorHAnsi"/>
          <w:b w:val="0"/>
        </w:rPr>
        <w:t>(Pay)</w:t>
      </w:r>
    </w:p>
    <w:p w14:paraId="0F6C9D15" w14:textId="2B9C1E8E"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 xml:space="preserve">Auto 3+ Person </w:t>
      </w:r>
      <w:r w:rsidR="00C903F1">
        <w:rPr>
          <w:rStyle w:val="Strong"/>
          <w:rFonts w:asciiTheme="minorHAnsi" w:hAnsiTheme="minorHAnsi" w:cstheme="minorHAnsi"/>
          <w:b w:val="0"/>
        </w:rPr>
        <w:t xml:space="preserve">Carpool </w:t>
      </w:r>
      <w:r w:rsidRPr="004D083C">
        <w:rPr>
          <w:rStyle w:val="Strong"/>
          <w:rFonts w:asciiTheme="minorHAnsi" w:hAnsiTheme="minorHAnsi" w:cstheme="minorHAnsi"/>
          <w:b w:val="0"/>
        </w:rPr>
        <w:t>(Free)</w:t>
      </w:r>
    </w:p>
    <w:p w14:paraId="54D2EA32" w14:textId="69F35998"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 xml:space="preserve">Auto 3+ Person </w:t>
      </w:r>
      <w:r w:rsidR="00467E6F">
        <w:rPr>
          <w:rStyle w:val="Strong"/>
          <w:rFonts w:asciiTheme="minorHAnsi" w:hAnsiTheme="minorHAnsi" w:cstheme="minorHAnsi"/>
          <w:b w:val="0"/>
        </w:rPr>
        <w:t xml:space="preserve">Carpool </w:t>
      </w:r>
      <w:r w:rsidRPr="004D083C">
        <w:rPr>
          <w:rStyle w:val="Strong"/>
          <w:rFonts w:asciiTheme="minorHAnsi" w:hAnsiTheme="minorHAnsi" w:cstheme="minorHAnsi"/>
          <w:b w:val="0"/>
        </w:rPr>
        <w:t>(Pay)</w:t>
      </w:r>
    </w:p>
    <w:p w14:paraId="3A6F6984" w14:textId="77777777"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Walk</w:t>
      </w:r>
    </w:p>
    <w:p w14:paraId="5F2FAF43" w14:textId="77777777"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Bike</w:t>
      </w:r>
    </w:p>
    <w:p w14:paraId="43639407" w14:textId="77777777"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Walk-All-Transit</w:t>
      </w:r>
    </w:p>
    <w:p w14:paraId="5E329F97" w14:textId="2C96D3CD"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Walk-Premium</w:t>
      </w:r>
      <w:r w:rsidR="00467E6F">
        <w:rPr>
          <w:rStyle w:val="Strong"/>
          <w:rFonts w:asciiTheme="minorHAnsi" w:hAnsiTheme="minorHAnsi" w:cstheme="minorHAnsi"/>
          <w:b w:val="0"/>
        </w:rPr>
        <w:t xml:space="preserve"> Transit</w:t>
      </w:r>
      <w:r w:rsidRPr="004D083C">
        <w:rPr>
          <w:rStyle w:val="Strong"/>
          <w:rFonts w:asciiTheme="minorHAnsi" w:hAnsiTheme="minorHAnsi" w:cstheme="minorHAnsi"/>
          <w:b w:val="0"/>
        </w:rPr>
        <w:t>-Only</w:t>
      </w:r>
    </w:p>
    <w:p w14:paraId="572155E5" w14:textId="77777777"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PNR-All-Transit (PNR = Park and Ride)</w:t>
      </w:r>
    </w:p>
    <w:p w14:paraId="34E91D91" w14:textId="595244A6"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PNR-Premium</w:t>
      </w:r>
      <w:r w:rsidR="00467E6F">
        <w:rPr>
          <w:rStyle w:val="Strong"/>
          <w:rFonts w:asciiTheme="minorHAnsi" w:hAnsiTheme="minorHAnsi" w:cstheme="minorHAnsi"/>
          <w:b w:val="0"/>
        </w:rPr>
        <w:t xml:space="preserve"> Transit</w:t>
      </w:r>
      <w:r w:rsidRPr="004D083C">
        <w:rPr>
          <w:rStyle w:val="Strong"/>
          <w:rFonts w:asciiTheme="minorHAnsi" w:hAnsiTheme="minorHAnsi" w:cstheme="minorHAnsi"/>
          <w:b w:val="0"/>
        </w:rPr>
        <w:t>-Only</w:t>
      </w:r>
    </w:p>
    <w:p w14:paraId="6E200250" w14:textId="77777777"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KNR-All-Transit (KNR = Kiss and Ride)</w:t>
      </w:r>
    </w:p>
    <w:p w14:paraId="5D05B192" w14:textId="5F5E7683"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KNR-Premium</w:t>
      </w:r>
      <w:r w:rsidR="00467E6F">
        <w:rPr>
          <w:rStyle w:val="Strong"/>
          <w:rFonts w:asciiTheme="minorHAnsi" w:hAnsiTheme="minorHAnsi" w:cstheme="minorHAnsi"/>
          <w:b w:val="0"/>
        </w:rPr>
        <w:t xml:space="preserve"> Transit</w:t>
      </w:r>
      <w:r w:rsidRPr="004D083C">
        <w:rPr>
          <w:rStyle w:val="Strong"/>
          <w:rFonts w:asciiTheme="minorHAnsi" w:hAnsiTheme="minorHAnsi" w:cstheme="minorHAnsi"/>
          <w:b w:val="0"/>
        </w:rPr>
        <w:t>-Only</w:t>
      </w:r>
    </w:p>
    <w:p w14:paraId="3E7A0747" w14:textId="77777777"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School Bus</w:t>
      </w:r>
    </w:p>
    <w:p w14:paraId="6A761571" w14:textId="77777777" w:rsidR="002F50E5" w:rsidRPr="004D083C" w:rsidRDefault="002F50E5" w:rsidP="002F50E5">
      <w:pPr>
        <w:pStyle w:val="NoSpacing"/>
        <w:numPr>
          <w:ilvl w:val="2"/>
          <w:numId w:val="5"/>
        </w:numPr>
        <w:rPr>
          <w:rStyle w:val="Strong"/>
          <w:rFonts w:asciiTheme="minorHAnsi" w:hAnsiTheme="minorHAnsi" w:cstheme="minorHAnsi"/>
          <w:b w:val="0"/>
        </w:rPr>
      </w:pPr>
      <w:r w:rsidRPr="004D083C">
        <w:rPr>
          <w:rStyle w:val="Strong"/>
          <w:rFonts w:asciiTheme="minorHAnsi" w:hAnsiTheme="minorHAnsi" w:cstheme="minorHAnsi"/>
          <w:b w:val="0"/>
        </w:rPr>
        <w:t xml:space="preserve">The mode choice model is organized in terms of seven characteristics: </w:t>
      </w:r>
    </w:p>
    <w:p w14:paraId="4F218A68" w14:textId="77777777"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 xml:space="preserve">Mathematical </w:t>
      </w:r>
      <w:proofErr w:type="gramStart"/>
      <w:r w:rsidRPr="004D083C">
        <w:rPr>
          <w:rStyle w:val="Strong"/>
          <w:rFonts w:asciiTheme="minorHAnsi" w:hAnsiTheme="minorHAnsi" w:cstheme="minorHAnsi"/>
          <w:b w:val="0"/>
        </w:rPr>
        <w:t>structure;</w:t>
      </w:r>
      <w:proofErr w:type="gramEnd"/>
      <w:r w:rsidRPr="004D083C">
        <w:rPr>
          <w:rStyle w:val="Strong"/>
          <w:rFonts w:asciiTheme="minorHAnsi" w:hAnsiTheme="minorHAnsi" w:cstheme="minorHAnsi"/>
          <w:b w:val="0"/>
        </w:rPr>
        <w:t xml:space="preserve"> </w:t>
      </w:r>
    </w:p>
    <w:p w14:paraId="54C7A95F" w14:textId="77777777"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 xml:space="preserve">Trip purposes and choice </w:t>
      </w:r>
      <w:proofErr w:type="gramStart"/>
      <w:r w:rsidRPr="004D083C">
        <w:rPr>
          <w:rStyle w:val="Strong"/>
          <w:rFonts w:asciiTheme="minorHAnsi" w:hAnsiTheme="minorHAnsi" w:cstheme="minorHAnsi"/>
          <w:b w:val="0"/>
        </w:rPr>
        <w:t>sets;</w:t>
      </w:r>
      <w:proofErr w:type="gramEnd"/>
    </w:p>
    <w:p w14:paraId="0AB98971" w14:textId="77777777"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 xml:space="preserve">Limitations on choice </w:t>
      </w:r>
      <w:proofErr w:type="gramStart"/>
      <w:r w:rsidRPr="004D083C">
        <w:rPr>
          <w:rStyle w:val="Strong"/>
          <w:rFonts w:asciiTheme="minorHAnsi" w:hAnsiTheme="minorHAnsi" w:cstheme="minorHAnsi"/>
          <w:b w:val="0"/>
        </w:rPr>
        <w:t>sets;</w:t>
      </w:r>
      <w:proofErr w:type="gramEnd"/>
    </w:p>
    <w:p w14:paraId="0ADA650F" w14:textId="77777777"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 xml:space="preserve">Analysis of transit </w:t>
      </w:r>
      <w:proofErr w:type="gramStart"/>
      <w:r w:rsidRPr="004D083C">
        <w:rPr>
          <w:rStyle w:val="Strong"/>
          <w:rFonts w:asciiTheme="minorHAnsi" w:hAnsiTheme="minorHAnsi" w:cstheme="minorHAnsi"/>
          <w:b w:val="0"/>
        </w:rPr>
        <w:t>access;</w:t>
      </w:r>
      <w:proofErr w:type="gramEnd"/>
    </w:p>
    <w:p w14:paraId="77639BFB" w14:textId="77777777"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 xml:space="preserve">Treatment of HOV </w:t>
      </w:r>
      <w:proofErr w:type="gramStart"/>
      <w:r w:rsidRPr="004D083C">
        <w:rPr>
          <w:rStyle w:val="Strong"/>
          <w:rFonts w:asciiTheme="minorHAnsi" w:hAnsiTheme="minorHAnsi" w:cstheme="minorHAnsi"/>
          <w:b w:val="0"/>
        </w:rPr>
        <w:t>lanes;</w:t>
      </w:r>
      <w:proofErr w:type="gramEnd"/>
    </w:p>
    <w:p w14:paraId="4363DA7A" w14:textId="77777777"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Stratification by income groups; and</w:t>
      </w:r>
    </w:p>
    <w:p w14:paraId="68C1628B" w14:textId="77777777" w:rsidR="002F50E5" w:rsidRPr="004D083C" w:rsidRDefault="002F50E5" w:rsidP="002F50E5">
      <w:pPr>
        <w:pStyle w:val="NoSpacing"/>
        <w:numPr>
          <w:ilvl w:val="3"/>
          <w:numId w:val="5"/>
        </w:numPr>
        <w:rPr>
          <w:rStyle w:val="Strong"/>
          <w:rFonts w:asciiTheme="minorHAnsi" w:hAnsiTheme="minorHAnsi" w:cstheme="minorHAnsi"/>
          <w:b w:val="0"/>
        </w:rPr>
      </w:pPr>
      <w:r w:rsidRPr="004D083C">
        <w:rPr>
          <w:rStyle w:val="Strong"/>
          <w:rFonts w:asciiTheme="minorHAnsi" w:hAnsiTheme="minorHAnsi" w:cstheme="minorHAnsi"/>
          <w:b w:val="0"/>
        </w:rPr>
        <w:t xml:space="preserve">Analysis of alternative transit paths. </w:t>
      </w:r>
    </w:p>
    <w:p w14:paraId="5DEE61BC" w14:textId="77777777" w:rsidR="002F50E5" w:rsidRPr="004D083C" w:rsidRDefault="002F50E5" w:rsidP="002F50E5">
      <w:pPr>
        <w:pStyle w:val="NoSpacing"/>
        <w:numPr>
          <w:ilvl w:val="1"/>
          <w:numId w:val="5"/>
        </w:numPr>
        <w:rPr>
          <w:rStyle w:val="Strong"/>
          <w:rFonts w:asciiTheme="minorHAnsi" w:hAnsiTheme="minorHAnsi" w:cstheme="minorHAnsi"/>
          <w:b w:val="0"/>
        </w:rPr>
      </w:pPr>
      <w:r w:rsidRPr="004D083C">
        <w:rPr>
          <w:rStyle w:val="Strong"/>
          <w:rFonts w:asciiTheme="minorHAnsi" w:hAnsiTheme="minorHAnsi" w:cstheme="minorHAnsi"/>
          <w:b w:val="0"/>
        </w:rPr>
        <w:t>Transit Fare Modeling</w:t>
      </w:r>
    </w:p>
    <w:p w14:paraId="1D285113" w14:textId="77777777" w:rsidR="002F50E5" w:rsidRPr="00283232" w:rsidRDefault="002F50E5" w:rsidP="002F50E5">
      <w:pPr>
        <w:pStyle w:val="NoSpacing"/>
        <w:numPr>
          <w:ilvl w:val="2"/>
          <w:numId w:val="5"/>
        </w:numPr>
        <w:rPr>
          <w:rFonts w:cstheme="minorHAnsi"/>
          <w:bCs/>
        </w:rPr>
      </w:pPr>
      <w:r w:rsidRPr="00283232">
        <w:rPr>
          <w:rFonts w:cstheme="minorHAnsi"/>
          <w:bCs/>
        </w:rPr>
        <w:t xml:space="preserve">Transit fares are based on information provided by the local transit operators throughout the Atlanta </w:t>
      </w:r>
      <w:proofErr w:type="gramStart"/>
      <w:r w:rsidRPr="00283232">
        <w:rPr>
          <w:rFonts w:cstheme="minorHAnsi"/>
          <w:bCs/>
        </w:rPr>
        <w:t>region</w:t>
      </w:r>
      <w:proofErr w:type="gramEnd"/>
    </w:p>
    <w:p w14:paraId="2EBB0F55" w14:textId="7E716C8D" w:rsidR="002F50E5" w:rsidRPr="00283232" w:rsidRDefault="002F50E5" w:rsidP="002F50E5">
      <w:pPr>
        <w:pStyle w:val="NoSpacing"/>
        <w:numPr>
          <w:ilvl w:val="2"/>
          <w:numId w:val="5"/>
        </w:numPr>
        <w:rPr>
          <w:rFonts w:cstheme="minorHAnsi"/>
          <w:bCs/>
        </w:rPr>
      </w:pPr>
      <w:r w:rsidRPr="00283232">
        <w:rPr>
          <w:rFonts w:cstheme="minorHAnsi"/>
          <w:bCs/>
        </w:rPr>
        <w:t xml:space="preserve">The base year for the travel demand model is year </w:t>
      </w:r>
      <w:r w:rsidR="00402194">
        <w:rPr>
          <w:rFonts w:cstheme="minorHAnsi"/>
          <w:bCs/>
        </w:rPr>
        <w:t>2015</w:t>
      </w:r>
      <w:r w:rsidRPr="00283232">
        <w:rPr>
          <w:rFonts w:cstheme="minorHAnsi"/>
          <w:bCs/>
        </w:rPr>
        <w:t xml:space="preserve">; therefore, any costs of traveling incurred within the model are representative of year </w:t>
      </w:r>
      <w:r w:rsidR="00402194">
        <w:rPr>
          <w:rFonts w:cstheme="minorHAnsi"/>
          <w:bCs/>
        </w:rPr>
        <w:t xml:space="preserve">2015 </w:t>
      </w:r>
      <w:proofErr w:type="gramStart"/>
      <w:r w:rsidRPr="00283232">
        <w:rPr>
          <w:rFonts w:cstheme="minorHAnsi"/>
          <w:bCs/>
        </w:rPr>
        <w:t>dollars</w:t>
      </w:r>
      <w:proofErr w:type="gramEnd"/>
    </w:p>
    <w:p w14:paraId="3BB52900" w14:textId="77777777" w:rsidR="002F50E5" w:rsidRPr="00283232" w:rsidRDefault="002F50E5" w:rsidP="002F50E5">
      <w:pPr>
        <w:pStyle w:val="NoSpacing"/>
        <w:numPr>
          <w:ilvl w:val="2"/>
          <w:numId w:val="5"/>
        </w:numPr>
        <w:rPr>
          <w:rFonts w:cstheme="minorHAnsi"/>
          <w:bCs/>
        </w:rPr>
      </w:pPr>
      <w:r w:rsidRPr="00283232">
        <w:rPr>
          <w:rFonts w:cstheme="minorHAnsi"/>
          <w:bCs/>
        </w:rPr>
        <w:t xml:space="preserve">A CPI adjustment was applied to all the operator fares and is carried forward for all model years from 2015 and </w:t>
      </w:r>
      <w:proofErr w:type="gramStart"/>
      <w:r w:rsidRPr="00283232">
        <w:rPr>
          <w:rFonts w:cstheme="minorHAnsi"/>
          <w:bCs/>
        </w:rPr>
        <w:t>beyond</w:t>
      </w:r>
      <w:proofErr w:type="gramEnd"/>
    </w:p>
    <w:p w14:paraId="2FF2ADE8" w14:textId="77777777" w:rsidR="002F50E5" w:rsidRPr="00283232" w:rsidRDefault="002F50E5" w:rsidP="002F50E5">
      <w:pPr>
        <w:pStyle w:val="NoSpacing"/>
        <w:numPr>
          <w:ilvl w:val="2"/>
          <w:numId w:val="5"/>
        </w:numPr>
        <w:rPr>
          <w:rFonts w:cstheme="minorHAnsi"/>
          <w:bCs/>
        </w:rPr>
      </w:pPr>
      <w:r w:rsidRPr="00283232">
        <w:rPr>
          <w:rFonts w:cstheme="minorHAnsi"/>
          <w:bCs/>
        </w:rPr>
        <w:t xml:space="preserve">The current ARC transit coding approach enables fares to be coded by mode and operator (cases where an operator has a different fare for different modes).  </w:t>
      </w:r>
    </w:p>
    <w:p w14:paraId="0C066D02" w14:textId="77777777" w:rsidR="002F50E5" w:rsidRPr="00283232" w:rsidRDefault="002F50E5" w:rsidP="002F50E5">
      <w:pPr>
        <w:pStyle w:val="NoSpacing"/>
        <w:numPr>
          <w:ilvl w:val="2"/>
          <w:numId w:val="5"/>
        </w:numPr>
        <w:rPr>
          <w:rFonts w:cstheme="minorHAnsi"/>
          <w:bCs/>
        </w:rPr>
      </w:pPr>
      <w:r w:rsidRPr="00283232">
        <w:rPr>
          <w:rFonts w:cstheme="minorHAnsi"/>
          <w:bCs/>
        </w:rPr>
        <w:t xml:space="preserve">The transit fare structure includes additional fares incurred from transferring from one operator to </w:t>
      </w:r>
      <w:proofErr w:type="gramStart"/>
      <w:r w:rsidRPr="00283232">
        <w:rPr>
          <w:rFonts w:cstheme="minorHAnsi"/>
          <w:bCs/>
        </w:rPr>
        <w:t>another</w:t>
      </w:r>
      <w:proofErr w:type="gramEnd"/>
    </w:p>
    <w:p w14:paraId="6D90A364" w14:textId="77777777" w:rsidR="002F50E5" w:rsidRPr="00283232" w:rsidRDefault="002F50E5" w:rsidP="002F50E5">
      <w:pPr>
        <w:pStyle w:val="NoSpacing"/>
        <w:numPr>
          <w:ilvl w:val="2"/>
          <w:numId w:val="5"/>
        </w:numPr>
        <w:rPr>
          <w:rFonts w:cstheme="minorHAnsi"/>
          <w:bCs/>
        </w:rPr>
      </w:pPr>
      <w:r w:rsidRPr="00283232">
        <w:rPr>
          <w:rFonts w:cstheme="minorHAnsi"/>
          <w:bCs/>
        </w:rPr>
        <w:t xml:space="preserve">The fare structure results in a fare matrix which includes the total fare of the trip on a zone-to-zone </w:t>
      </w:r>
      <w:proofErr w:type="gramStart"/>
      <w:r w:rsidRPr="00283232">
        <w:rPr>
          <w:rFonts w:cstheme="minorHAnsi"/>
          <w:bCs/>
        </w:rPr>
        <w:t>level</w:t>
      </w:r>
      <w:proofErr w:type="gramEnd"/>
    </w:p>
    <w:p w14:paraId="60D91FF9" w14:textId="77777777" w:rsidR="002F50E5" w:rsidRDefault="002F50E5" w:rsidP="002F50E5">
      <w:pPr>
        <w:pStyle w:val="NoSpacing"/>
        <w:ind w:left="1080"/>
        <w:rPr>
          <w:rStyle w:val="Strong"/>
          <w:rFonts w:asciiTheme="minorHAnsi" w:hAnsiTheme="minorHAnsi" w:cstheme="minorHAnsi"/>
          <w:b w:val="0"/>
        </w:rPr>
      </w:pPr>
    </w:p>
    <w:p w14:paraId="04AC7BFC" w14:textId="57160FD7" w:rsidR="002F50E5" w:rsidRDefault="002F50E5" w:rsidP="002F50E5">
      <w:pPr>
        <w:pStyle w:val="NoSpacing"/>
        <w:numPr>
          <w:ilvl w:val="1"/>
          <w:numId w:val="5"/>
        </w:numPr>
        <w:rPr>
          <w:rFonts w:asciiTheme="minorHAnsi" w:hAnsiTheme="minorHAnsi" w:cstheme="minorHAnsi"/>
          <w:bCs/>
        </w:rPr>
      </w:pPr>
      <w:r w:rsidRPr="008031B8">
        <w:rPr>
          <w:rFonts w:asciiTheme="minorHAnsi" w:hAnsiTheme="minorHAnsi" w:cstheme="minorHAnsi"/>
        </w:rPr>
        <w:t>2009</w:t>
      </w:r>
      <w:r>
        <w:rPr>
          <w:rFonts w:asciiTheme="minorHAnsi" w:hAnsiTheme="minorHAnsi" w:cstheme="minorHAnsi"/>
        </w:rPr>
        <w:t>-2010</w:t>
      </w:r>
      <w:r w:rsidRPr="008031B8">
        <w:rPr>
          <w:rFonts w:asciiTheme="minorHAnsi" w:hAnsiTheme="minorHAnsi" w:cstheme="minorHAnsi"/>
        </w:rPr>
        <w:t xml:space="preserve"> Transit On</w:t>
      </w:r>
      <w:r w:rsidR="00423385">
        <w:rPr>
          <w:rFonts w:asciiTheme="minorHAnsi" w:hAnsiTheme="minorHAnsi" w:cstheme="minorHAnsi"/>
        </w:rPr>
        <w:t>-</w:t>
      </w:r>
      <w:r>
        <w:rPr>
          <w:rFonts w:asciiTheme="minorHAnsi" w:hAnsiTheme="minorHAnsi" w:cstheme="minorHAnsi"/>
        </w:rPr>
        <w:t xml:space="preserve">Board Survey </w:t>
      </w:r>
      <w:r w:rsidR="00423385">
        <w:rPr>
          <w:rFonts w:asciiTheme="minorHAnsi" w:hAnsiTheme="minorHAnsi" w:cstheme="minorHAnsi"/>
        </w:rPr>
        <w:t>Data</w:t>
      </w:r>
    </w:p>
    <w:p w14:paraId="681D34EE" w14:textId="1AE3B28C" w:rsidR="002F50E5" w:rsidRDefault="002F50E5" w:rsidP="002F50E5">
      <w:pPr>
        <w:pStyle w:val="NoSpacing"/>
        <w:numPr>
          <w:ilvl w:val="2"/>
          <w:numId w:val="5"/>
        </w:numPr>
        <w:rPr>
          <w:rFonts w:asciiTheme="minorHAnsi" w:hAnsiTheme="minorHAnsi" w:cstheme="minorHAnsi"/>
          <w:bCs/>
        </w:rPr>
      </w:pPr>
      <w:r w:rsidRPr="008031B8">
        <w:rPr>
          <w:rFonts w:asciiTheme="minorHAnsi" w:hAnsiTheme="minorHAnsi" w:cstheme="minorHAnsi"/>
        </w:rPr>
        <w:t>Update of regional transit trave</w:t>
      </w:r>
      <w:r>
        <w:rPr>
          <w:rFonts w:asciiTheme="minorHAnsi" w:hAnsiTheme="minorHAnsi" w:cstheme="minorHAnsi"/>
        </w:rPr>
        <w:t>l targets based on</w:t>
      </w:r>
      <w:r w:rsidR="00423385">
        <w:rPr>
          <w:rFonts w:asciiTheme="minorHAnsi" w:hAnsiTheme="minorHAnsi" w:cstheme="minorHAnsi"/>
        </w:rPr>
        <w:t xml:space="preserve"> the re-</w:t>
      </w:r>
      <w:r>
        <w:rPr>
          <w:rFonts w:asciiTheme="minorHAnsi" w:hAnsiTheme="minorHAnsi" w:cstheme="minorHAnsi"/>
        </w:rPr>
        <w:t>expansion of the</w:t>
      </w:r>
      <w:r w:rsidRPr="008031B8">
        <w:rPr>
          <w:rFonts w:asciiTheme="minorHAnsi" w:hAnsiTheme="minorHAnsi" w:cstheme="minorHAnsi"/>
        </w:rPr>
        <w:t xml:space="preserve"> on-board survey data</w:t>
      </w:r>
      <w:r w:rsidR="00423385">
        <w:rPr>
          <w:rFonts w:asciiTheme="minorHAnsi" w:hAnsiTheme="minorHAnsi" w:cstheme="minorHAnsi"/>
        </w:rPr>
        <w:t xml:space="preserve"> to </w:t>
      </w:r>
      <w:proofErr w:type="gramStart"/>
      <w:r w:rsidR="00423385">
        <w:rPr>
          <w:rFonts w:asciiTheme="minorHAnsi" w:hAnsiTheme="minorHAnsi" w:cstheme="minorHAnsi"/>
        </w:rPr>
        <w:t>2015</w:t>
      </w:r>
      <w:proofErr w:type="gramEnd"/>
    </w:p>
    <w:p w14:paraId="43848C1E" w14:textId="77777777" w:rsidR="002F50E5" w:rsidRDefault="002F50E5" w:rsidP="002F50E5">
      <w:pPr>
        <w:pStyle w:val="NoSpacing"/>
        <w:numPr>
          <w:ilvl w:val="3"/>
          <w:numId w:val="5"/>
        </w:numPr>
        <w:rPr>
          <w:rFonts w:asciiTheme="minorHAnsi" w:hAnsiTheme="minorHAnsi" w:cstheme="minorHAnsi"/>
          <w:bCs/>
        </w:rPr>
      </w:pPr>
      <w:r w:rsidRPr="008031B8">
        <w:rPr>
          <w:rFonts w:asciiTheme="minorHAnsi" w:hAnsiTheme="minorHAnsi" w:cstheme="minorHAnsi"/>
        </w:rPr>
        <w:t>Modifications to express bus and BRT transfer constants</w:t>
      </w:r>
    </w:p>
    <w:p w14:paraId="4F0025D3" w14:textId="77777777" w:rsidR="002F50E5" w:rsidRDefault="002F50E5" w:rsidP="002F50E5">
      <w:pPr>
        <w:pStyle w:val="NoSpacing"/>
        <w:numPr>
          <w:ilvl w:val="3"/>
          <w:numId w:val="5"/>
        </w:numPr>
        <w:rPr>
          <w:rFonts w:asciiTheme="minorHAnsi" w:hAnsiTheme="minorHAnsi" w:cstheme="minorHAnsi"/>
          <w:bCs/>
        </w:rPr>
      </w:pPr>
      <w:r w:rsidRPr="008031B8">
        <w:rPr>
          <w:rFonts w:asciiTheme="minorHAnsi" w:hAnsiTheme="minorHAnsi" w:cstheme="minorHAnsi"/>
        </w:rPr>
        <w:t xml:space="preserve">Modifications to travel demand model estimates of zero-car transit work </w:t>
      </w:r>
      <w:proofErr w:type="gramStart"/>
      <w:r w:rsidRPr="008031B8">
        <w:rPr>
          <w:rFonts w:asciiTheme="minorHAnsi" w:hAnsiTheme="minorHAnsi" w:cstheme="minorHAnsi"/>
        </w:rPr>
        <w:t>trips</w:t>
      </w:r>
      <w:proofErr w:type="gramEnd"/>
    </w:p>
    <w:p w14:paraId="53B80211" w14:textId="77777777" w:rsidR="002F50E5" w:rsidRDefault="002F50E5" w:rsidP="002F50E5">
      <w:pPr>
        <w:pStyle w:val="NoSpacing"/>
        <w:numPr>
          <w:ilvl w:val="3"/>
          <w:numId w:val="5"/>
        </w:numPr>
        <w:rPr>
          <w:rFonts w:asciiTheme="minorHAnsi" w:hAnsiTheme="minorHAnsi" w:cstheme="minorHAnsi"/>
          <w:bCs/>
        </w:rPr>
      </w:pPr>
      <w:r w:rsidRPr="008031B8">
        <w:rPr>
          <w:rFonts w:asciiTheme="minorHAnsi" w:hAnsiTheme="minorHAnsi" w:cstheme="minorHAnsi"/>
        </w:rPr>
        <w:t xml:space="preserve">Modifications to travel demand model estimates of kiss-and-ride passenger access and use of transit </w:t>
      </w:r>
      <w:proofErr w:type="gramStart"/>
      <w:r w:rsidRPr="008031B8">
        <w:rPr>
          <w:rFonts w:asciiTheme="minorHAnsi" w:hAnsiTheme="minorHAnsi" w:cstheme="minorHAnsi"/>
        </w:rPr>
        <w:t>system</w:t>
      </w:r>
      <w:proofErr w:type="gramEnd"/>
    </w:p>
    <w:p w14:paraId="55342E07" w14:textId="77777777" w:rsidR="002F50E5" w:rsidRDefault="002F50E5" w:rsidP="002F50E5">
      <w:pPr>
        <w:pStyle w:val="NoSpacing"/>
        <w:numPr>
          <w:ilvl w:val="3"/>
          <w:numId w:val="5"/>
        </w:numPr>
        <w:rPr>
          <w:rFonts w:asciiTheme="minorHAnsi" w:hAnsiTheme="minorHAnsi" w:cstheme="minorHAnsi"/>
          <w:bCs/>
        </w:rPr>
      </w:pPr>
      <w:r w:rsidRPr="008031B8">
        <w:rPr>
          <w:rFonts w:asciiTheme="minorHAnsi" w:hAnsiTheme="minorHAnsi" w:cstheme="minorHAnsi"/>
        </w:rPr>
        <w:t>Overall evaluation of all modal constants</w:t>
      </w:r>
    </w:p>
    <w:p w14:paraId="4DD692F1" w14:textId="77777777" w:rsidR="002F50E5" w:rsidRDefault="002F50E5" w:rsidP="002F50E5">
      <w:pPr>
        <w:pStyle w:val="NoSpacing"/>
        <w:numPr>
          <w:ilvl w:val="3"/>
          <w:numId w:val="5"/>
        </w:numPr>
        <w:rPr>
          <w:rFonts w:asciiTheme="minorHAnsi" w:hAnsiTheme="minorHAnsi" w:cstheme="minorHAnsi"/>
          <w:bCs/>
        </w:rPr>
      </w:pPr>
      <w:r w:rsidRPr="008031B8">
        <w:rPr>
          <w:rFonts w:asciiTheme="minorHAnsi" w:hAnsiTheme="minorHAnsi" w:cstheme="minorHAnsi"/>
        </w:rPr>
        <w:t>Refinement to park-and-ride lot assumptions</w:t>
      </w:r>
    </w:p>
    <w:p w14:paraId="3BCFFD92" w14:textId="77777777" w:rsidR="002F50E5" w:rsidRDefault="002F50E5" w:rsidP="002F50E5">
      <w:pPr>
        <w:pStyle w:val="NoSpacing"/>
        <w:numPr>
          <w:ilvl w:val="3"/>
          <w:numId w:val="5"/>
        </w:numPr>
        <w:rPr>
          <w:rFonts w:asciiTheme="minorHAnsi" w:hAnsiTheme="minorHAnsi" w:cstheme="minorHAnsi"/>
          <w:bCs/>
        </w:rPr>
      </w:pPr>
      <w:r w:rsidRPr="008031B8">
        <w:rPr>
          <w:rFonts w:asciiTheme="minorHAnsi" w:hAnsiTheme="minorHAnsi" w:cstheme="minorHAnsi"/>
        </w:rPr>
        <w:t>Updated walk connector and percent walk procedures</w:t>
      </w:r>
    </w:p>
    <w:p w14:paraId="353F9199" w14:textId="77777777" w:rsidR="002F50E5" w:rsidRDefault="002F50E5" w:rsidP="002F50E5">
      <w:pPr>
        <w:pStyle w:val="NoSpacing"/>
        <w:numPr>
          <w:ilvl w:val="2"/>
          <w:numId w:val="5"/>
        </w:numPr>
        <w:rPr>
          <w:rFonts w:asciiTheme="minorHAnsi" w:hAnsiTheme="minorHAnsi" w:cstheme="minorHAnsi"/>
          <w:bCs/>
        </w:rPr>
      </w:pPr>
      <w:r w:rsidRPr="008031B8">
        <w:rPr>
          <w:rFonts w:asciiTheme="minorHAnsi" w:hAnsiTheme="minorHAnsi" w:cstheme="minorHAnsi"/>
        </w:rPr>
        <w:t>Modified transit skimming procedures</w:t>
      </w:r>
    </w:p>
    <w:p w14:paraId="62C15FF7" w14:textId="77777777" w:rsidR="002F50E5" w:rsidRPr="008031B8" w:rsidRDefault="002F50E5" w:rsidP="002F50E5">
      <w:pPr>
        <w:pStyle w:val="NoSpacing"/>
        <w:numPr>
          <w:ilvl w:val="2"/>
          <w:numId w:val="5"/>
        </w:numPr>
        <w:rPr>
          <w:rFonts w:asciiTheme="minorHAnsi" w:hAnsiTheme="minorHAnsi" w:cstheme="minorHAnsi"/>
          <w:bCs/>
        </w:rPr>
      </w:pPr>
      <w:r w:rsidRPr="008031B8">
        <w:rPr>
          <w:rFonts w:asciiTheme="minorHAnsi" w:hAnsiTheme="minorHAnsi" w:cstheme="minorHAnsi"/>
        </w:rPr>
        <w:t>Re-calibrated air passenger mod</w:t>
      </w:r>
      <w:r>
        <w:rPr>
          <w:rFonts w:asciiTheme="minorHAnsi" w:hAnsiTheme="minorHAnsi" w:cstheme="minorHAnsi"/>
        </w:rPr>
        <w:t>el</w:t>
      </w:r>
    </w:p>
    <w:p w14:paraId="2F8B6837" w14:textId="77777777" w:rsidR="002F50E5" w:rsidRPr="008031B8" w:rsidRDefault="002F50E5" w:rsidP="002F50E5">
      <w:pPr>
        <w:pStyle w:val="NoSpacing"/>
        <w:numPr>
          <w:ilvl w:val="2"/>
          <w:numId w:val="5"/>
        </w:numPr>
        <w:rPr>
          <w:rFonts w:asciiTheme="minorHAnsi" w:hAnsiTheme="minorHAnsi" w:cstheme="minorHAnsi"/>
          <w:bCs/>
        </w:rPr>
      </w:pPr>
      <w:r w:rsidRPr="008031B8">
        <w:rPr>
          <w:rFonts w:cstheme="minorHAnsi"/>
        </w:rPr>
        <w:t>Assessment of travel demand model understanding of market segments and travel patterns relative to the on-board survey records</w:t>
      </w:r>
      <w:r>
        <w:t xml:space="preserve"> </w:t>
      </w:r>
      <w:r>
        <w:br w:type="page"/>
      </w:r>
    </w:p>
    <w:p w14:paraId="1229C586" w14:textId="71AD2552" w:rsidR="002F50E5" w:rsidRPr="00074343" w:rsidRDefault="002F50E5" w:rsidP="002F50E5">
      <w:pPr>
        <w:rPr>
          <w:b/>
          <w:sz w:val="24"/>
          <w:szCs w:val="24"/>
        </w:rPr>
      </w:pPr>
      <w:r w:rsidRPr="00074343">
        <w:rPr>
          <w:b/>
          <w:sz w:val="24"/>
          <w:szCs w:val="24"/>
        </w:rPr>
        <w:t>Appendix D – I</w:t>
      </w:r>
      <w:r w:rsidR="00F63734">
        <w:rPr>
          <w:b/>
          <w:sz w:val="24"/>
          <w:szCs w:val="24"/>
        </w:rPr>
        <w:t>&amp;</w:t>
      </w:r>
      <w:r w:rsidRPr="00074343">
        <w:rPr>
          <w:b/>
          <w:sz w:val="24"/>
          <w:szCs w:val="24"/>
        </w:rPr>
        <w:t xml:space="preserve">M Program </w:t>
      </w:r>
    </w:p>
    <w:p w14:paraId="4BD5F98E" w14:textId="494E805E" w:rsidR="00F63734" w:rsidRPr="005537E4" w:rsidRDefault="00F63734" w:rsidP="00F63734">
      <w:pPr>
        <w:pStyle w:val="ListParagraph"/>
        <w:numPr>
          <w:ilvl w:val="0"/>
          <w:numId w:val="7"/>
        </w:numPr>
        <w:spacing w:after="0" w:line="240" w:lineRule="auto"/>
        <w:jc w:val="both"/>
      </w:pPr>
      <w:r>
        <w:t xml:space="preserve">Current Program: </w:t>
      </w:r>
      <w:r w:rsidRPr="005537E4">
        <w:t>Exhaust and Evaporative (OBD and gas cap pressure test) for 1996 and newer vehicles</w:t>
      </w:r>
    </w:p>
    <w:p w14:paraId="6C15EF5B" w14:textId="31DD6F52" w:rsidR="00F63734" w:rsidRPr="005537E4" w:rsidRDefault="00F63734" w:rsidP="00F63734">
      <w:pPr>
        <w:numPr>
          <w:ilvl w:val="0"/>
          <w:numId w:val="8"/>
        </w:numPr>
        <w:spacing w:after="0" w:line="240" w:lineRule="auto"/>
        <w:jc w:val="both"/>
      </w:pPr>
      <w:r w:rsidRPr="005537E4">
        <w:t xml:space="preserve">Annual inspection </w:t>
      </w:r>
      <w:proofErr w:type="gramStart"/>
      <w:r w:rsidRPr="005537E4">
        <w:t>required</w:t>
      </w:r>
      <w:proofErr w:type="gramEnd"/>
    </w:p>
    <w:p w14:paraId="507E3972" w14:textId="77777777" w:rsidR="00F63734" w:rsidRPr="005537E4" w:rsidRDefault="00F63734" w:rsidP="00F63734">
      <w:pPr>
        <w:numPr>
          <w:ilvl w:val="0"/>
          <w:numId w:val="8"/>
        </w:numPr>
        <w:spacing w:after="0" w:line="240" w:lineRule="auto"/>
        <w:jc w:val="both"/>
      </w:pPr>
      <w:r w:rsidRPr="005537E4">
        <w:t>Computerized test and repair OBD – Exhaust</w:t>
      </w:r>
    </w:p>
    <w:p w14:paraId="156E9AAA" w14:textId="77777777" w:rsidR="00F63734" w:rsidRPr="005537E4" w:rsidRDefault="00F63734" w:rsidP="00F63734">
      <w:pPr>
        <w:numPr>
          <w:ilvl w:val="0"/>
          <w:numId w:val="8"/>
        </w:numPr>
        <w:spacing w:after="0" w:line="240" w:lineRule="auto"/>
        <w:jc w:val="both"/>
      </w:pPr>
      <w:r w:rsidRPr="005537E4">
        <w:t>Computerized test and repair OBD &amp; GC - Evaporative</w:t>
      </w:r>
    </w:p>
    <w:p w14:paraId="4F3033D7" w14:textId="77777777" w:rsidR="00F63734" w:rsidRPr="005537E4" w:rsidRDefault="00F63734" w:rsidP="00F63734">
      <w:pPr>
        <w:numPr>
          <w:ilvl w:val="0"/>
          <w:numId w:val="8"/>
        </w:numPr>
        <w:spacing w:after="0" w:line="240" w:lineRule="auto"/>
        <w:jc w:val="both"/>
      </w:pPr>
      <w:r w:rsidRPr="005537E4">
        <w:t xml:space="preserve">Applies to all LDG vehicle </w:t>
      </w:r>
      <w:proofErr w:type="gramStart"/>
      <w:r w:rsidRPr="005537E4">
        <w:t>types</w:t>
      </w:r>
      <w:proofErr w:type="gramEnd"/>
    </w:p>
    <w:p w14:paraId="07418EE8" w14:textId="77777777" w:rsidR="00F63734" w:rsidRPr="005537E4" w:rsidRDefault="00F63734" w:rsidP="00F63734">
      <w:pPr>
        <w:numPr>
          <w:ilvl w:val="0"/>
          <w:numId w:val="8"/>
        </w:numPr>
        <w:spacing w:after="0" w:line="240" w:lineRule="auto"/>
        <w:jc w:val="both"/>
      </w:pPr>
      <w:r w:rsidRPr="005537E4">
        <w:t>Three-year grace period</w:t>
      </w:r>
    </w:p>
    <w:p w14:paraId="79141EEA" w14:textId="77777777" w:rsidR="00F63734" w:rsidRPr="005537E4" w:rsidRDefault="00F63734" w:rsidP="00F63734">
      <w:pPr>
        <w:numPr>
          <w:ilvl w:val="0"/>
          <w:numId w:val="8"/>
        </w:numPr>
        <w:spacing w:after="0" w:line="240" w:lineRule="auto"/>
        <w:jc w:val="both"/>
      </w:pPr>
      <w:r w:rsidRPr="005537E4">
        <w:t>3% waiver rate for all vehicles – Exhaust test</w:t>
      </w:r>
    </w:p>
    <w:p w14:paraId="13F2DF89" w14:textId="77777777" w:rsidR="00F63734" w:rsidRPr="005537E4" w:rsidRDefault="00F63734" w:rsidP="00F63734">
      <w:pPr>
        <w:numPr>
          <w:ilvl w:val="0"/>
          <w:numId w:val="8"/>
        </w:numPr>
        <w:spacing w:after="0" w:line="240" w:lineRule="auto"/>
        <w:jc w:val="both"/>
      </w:pPr>
      <w:r w:rsidRPr="005537E4">
        <w:t>0% waiver rate for all vehicles – Evaporative test</w:t>
      </w:r>
    </w:p>
    <w:p w14:paraId="1FD54BA3" w14:textId="39E2813C" w:rsidR="00F63734" w:rsidRDefault="00F63734" w:rsidP="00F63734">
      <w:pPr>
        <w:numPr>
          <w:ilvl w:val="0"/>
          <w:numId w:val="8"/>
        </w:numPr>
        <w:spacing w:after="0" w:line="240" w:lineRule="auto"/>
        <w:jc w:val="both"/>
      </w:pPr>
      <w:r w:rsidRPr="005537E4">
        <w:t>97% compliance</w:t>
      </w:r>
      <w:r>
        <w:t xml:space="preserve"> rate</w:t>
      </w:r>
    </w:p>
    <w:p w14:paraId="678B5A5A" w14:textId="64CABE6F" w:rsidR="002F50E5" w:rsidRPr="005537E4" w:rsidRDefault="00F63734" w:rsidP="002F50E5">
      <w:pPr>
        <w:pStyle w:val="ListParagraph"/>
        <w:numPr>
          <w:ilvl w:val="0"/>
          <w:numId w:val="7"/>
        </w:numPr>
        <w:spacing w:after="0" w:line="240" w:lineRule="auto"/>
        <w:jc w:val="both"/>
      </w:pPr>
      <w:bookmarkStart w:id="10" w:name="_Hlk128472932"/>
      <w:r>
        <w:t xml:space="preserve">Reduced I&amp;M Program: </w:t>
      </w:r>
      <w:r w:rsidR="002F50E5" w:rsidRPr="005537E4">
        <w:t xml:space="preserve">Exhaust OBD for 1996 and newer </w:t>
      </w:r>
      <w:proofErr w:type="gramStart"/>
      <w:r w:rsidR="002F50E5" w:rsidRPr="005537E4">
        <w:t>vehicles</w:t>
      </w:r>
      <w:proofErr w:type="gramEnd"/>
    </w:p>
    <w:p w14:paraId="68162322" w14:textId="77777777" w:rsidR="002F50E5" w:rsidRPr="005537E4" w:rsidRDefault="002F50E5" w:rsidP="002F50E5">
      <w:pPr>
        <w:numPr>
          <w:ilvl w:val="0"/>
          <w:numId w:val="8"/>
        </w:numPr>
        <w:spacing w:after="0" w:line="240" w:lineRule="auto"/>
        <w:jc w:val="both"/>
      </w:pPr>
      <w:r w:rsidRPr="005537E4">
        <w:t xml:space="preserve">Annual inspection </w:t>
      </w:r>
      <w:proofErr w:type="gramStart"/>
      <w:r w:rsidRPr="005537E4">
        <w:t>required</w:t>
      </w:r>
      <w:proofErr w:type="gramEnd"/>
    </w:p>
    <w:p w14:paraId="344EB388" w14:textId="77777777" w:rsidR="002F50E5" w:rsidRPr="005537E4" w:rsidRDefault="002F50E5" w:rsidP="002F50E5">
      <w:pPr>
        <w:numPr>
          <w:ilvl w:val="0"/>
          <w:numId w:val="8"/>
        </w:numPr>
        <w:spacing w:after="0" w:line="240" w:lineRule="auto"/>
        <w:jc w:val="both"/>
      </w:pPr>
      <w:r w:rsidRPr="005537E4">
        <w:t>Computerized test and repair OBD – Exhaust</w:t>
      </w:r>
    </w:p>
    <w:p w14:paraId="4A4A3CA0" w14:textId="77777777" w:rsidR="002F50E5" w:rsidRPr="005537E4" w:rsidRDefault="002F50E5" w:rsidP="002F50E5">
      <w:pPr>
        <w:numPr>
          <w:ilvl w:val="0"/>
          <w:numId w:val="8"/>
        </w:numPr>
        <w:spacing w:after="0" w:line="240" w:lineRule="auto"/>
        <w:jc w:val="both"/>
      </w:pPr>
      <w:r w:rsidRPr="005537E4">
        <w:t>Computerized test and repair OBD &amp; GC - Evaporative</w:t>
      </w:r>
    </w:p>
    <w:p w14:paraId="1D04A643" w14:textId="77777777" w:rsidR="002F50E5" w:rsidRPr="005537E4" w:rsidRDefault="002F50E5" w:rsidP="002F50E5">
      <w:pPr>
        <w:numPr>
          <w:ilvl w:val="0"/>
          <w:numId w:val="8"/>
        </w:numPr>
        <w:spacing w:after="0" w:line="240" w:lineRule="auto"/>
        <w:jc w:val="both"/>
      </w:pPr>
      <w:r w:rsidRPr="005537E4">
        <w:t xml:space="preserve">Applies to all LDG vehicle </w:t>
      </w:r>
      <w:proofErr w:type="gramStart"/>
      <w:r w:rsidRPr="005537E4">
        <w:t>types</w:t>
      </w:r>
      <w:proofErr w:type="gramEnd"/>
    </w:p>
    <w:p w14:paraId="566B0D8A" w14:textId="421F5ECB" w:rsidR="002F50E5" w:rsidRPr="005537E4" w:rsidRDefault="000F748A" w:rsidP="002F50E5">
      <w:pPr>
        <w:numPr>
          <w:ilvl w:val="0"/>
          <w:numId w:val="8"/>
        </w:numPr>
        <w:spacing w:after="0" w:line="240" w:lineRule="auto"/>
        <w:jc w:val="both"/>
      </w:pPr>
      <w:r>
        <w:t>Three</w:t>
      </w:r>
      <w:r w:rsidR="00423385" w:rsidRPr="005537E4">
        <w:t>-year</w:t>
      </w:r>
      <w:r w:rsidR="002F50E5" w:rsidRPr="005537E4">
        <w:t xml:space="preserve"> grace period</w:t>
      </w:r>
    </w:p>
    <w:p w14:paraId="63F33F9F" w14:textId="77777777" w:rsidR="002F50E5" w:rsidRPr="005537E4" w:rsidRDefault="002F50E5" w:rsidP="002F50E5">
      <w:pPr>
        <w:numPr>
          <w:ilvl w:val="0"/>
          <w:numId w:val="8"/>
        </w:numPr>
        <w:spacing w:after="0" w:line="240" w:lineRule="auto"/>
        <w:jc w:val="both"/>
      </w:pPr>
      <w:r w:rsidRPr="005537E4">
        <w:t>3% waiver rate for all vehicles – Exhaust test</w:t>
      </w:r>
    </w:p>
    <w:p w14:paraId="05DCA476" w14:textId="77777777" w:rsidR="002F50E5" w:rsidRPr="005537E4" w:rsidRDefault="002F50E5" w:rsidP="002F50E5">
      <w:pPr>
        <w:numPr>
          <w:ilvl w:val="0"/>
          <w:numId w:val="8"/>
        </w:numPr>
        <w:spacing w:after="0" w:line="240" w:lineRule="auto"/>
        <w:jc w:val="both"/>
      </w:pPr>
      <w:r w:rsidRPr="005537E4">
        <w:t>0% waiver rate for all vehicles – Evaporative test</w:t>
      </w:r>
    </w:p>
    <w:p w14:paraId="664343D0" w14:textId="2CA9C736" w:rsidR="008164FD" w:rsidRDefault="002F50E5" w:rsidP="002F50E5">
      <w:pPr>
        <w:numPr>
          <w:ilvl w:val="0"/>
          <w:numId w:val="8"/>
        </w:numPr>
        <w:spacing w:after="0" w:line="240" w:lineRule="auto"/>
        <w:jc w:val="both"/>
      </w:pPr>
      <w:r w:rsidRPr="005537E4">
        <w:t>97% compliance</w:t>
      </w:r>
      <w:r>
        <w:t xml:space="preserve"> rate</w:t>
      </w:r>
    </w:p>
    <w:bookmarkEnd w:id="10"/>
    <w:p w14:paraId="5A7D2A2A" w14:textId="232BA49C" w:rsidR="008164FD" w:rsidRDefault="008164FD" w:rsidP="002F50E5"/>
    <w:p w14:paraId="5C56C119" w14:textId="7C592E44" w:rsidR="00CE5330" w:rsidRDefault="00CE5330" w:rsidP="002F50E5"/>
    <w:p w14:paraId="0450D48D" w14:textId="2BF6E3CA" w:rsidR="00ED44EA" w:rsidRDefault="00ED44EA" w:rsidP="002F50E5"/>
    <w:p w14:paraId="398D898F" w14:textId="05E3103D" w:rsidR="00ED44EA" w:rsidRDefault="00ED44EA" w:rsidP="002F50E5"/>
    <w:p w14:paraId="72F2AD1A" w14:textId="62E7C072" w:rsidR="00ED44EA" w:rsidRDefault="00ED44EA" w:rsidP="002F50E5"/>
    <w:p w14:paraId="6FCEB4F2" w14:textId="68009874" w:rsidR="00ED44EA" w:rsidRDefault="00ED44EA" w:rsidP="002F50E5"/>
    <w:p w14:paraId="79E593BF" w14:textId="7761FF05" w:rsidR="00ED44EA" w:rsidRDefault="00ED44EA" w:rsidP="002F50E5"/>
    <w:p w14:paraId="05814DBE" w14:textId="4C902D4B" w:rsidR="00ED44EA" w:rsidRDefault="00ED44EA" w:rsidP="002F50E5"/>
    <w:p w14:paraId="522663B9" w14:textId="25CC8301" w:rsidR="00ED44EA" w:rsidRDefault="00ED44EA" w:rsidP="002F50E5"/>
    <w:p w14:paraId="31CA8C30" w14:textId="4270EA93" w:rsidR="00ED44EA" w:rsidRDefault="00ED44EA" w:rsidP="002F50E5"/>
    <w:p w14:paraId="00E3DAC7" w14:textId="404CC1CF" w:rsidR="00ED44EA" w:rsidRDefault="00ED44EA" w:rsidP="002F50E5"/>
    <w:p w14:paraId="5BB400E9" w14:textId="2393C05D" w:rsidR="00ED44EA" w:rsidRDefault="00ED44EA" w:rsidP="002F50E5"/>
    <w:p w14:paraId="764781D4" w14:textId="304C9E3F" w:rsidR="00ED44EA" w:rsidRDefault="00ED44EA" w:rsidP="002F50E5"/>
    <w:p w14:paraId="065FB706" w14:textId="20FD1662" w:rsidR="00ED44EA" w:rsidRDefault="00ED44EA" w:rsidP="002F50E5"/>
    <w:p w14:paraId="28505FBB" w14:textId="2E755044" w:rsidR="00ED44EA" w:rsidRDefault="00ED44EA" w:rsidP="002F50E5"/>
    <w:p w14:paraId="6595178B" w14:textId="23B51D58" w:rsidR="00ED44EA" w:rsidRDefault="00ED44EA" w:rsidP="002F50E5"/>
    <w:p w14:paraId="76337762" w14:textId="2F77D035" w:rsidR="00ED44EA" w:rsidRDefault="00ED44EA" w:rsidP="002F50E5"/>
    <w:p w14:paraId="227B406C" w14:textId="6D63276E" w:rsidR="00ED44EA" w:rsidRDefault="00ED44EA" w:rsidP="002F50E5"/>
    <w:p w14:paraId="0FEC89A5" w14:textId="00693AF7" w:rsidR="00ED44EA" w:rsidRDefault="00ED44EA" w:rsidP="002F50E5"/>
    <w:p w14:paraId="6007B5CC" w14:textId="77777777" w:rsidR="00ED44EA" w:rsidRDefault="00ED44EA" w:rsidP="002F50E5"/>
    <w:p w14:paraId="68C1C438" w14:textId="77777777" w:rsidR="002F50E5" w:rsidRPr="00074343" w:rsidRDefault="002F50E5" w:rsidP="002F50E5">
      <w:pPr>
        <w:rPr>
          <w:b/>
          <w:sz w:val="24"/>
          <w:szCs w:val="24"/>
        </w:rPr>
      </w:pPr>
      <w:bookmarkStart w:id="11" w:name="_Hlk115098226"/>
      <w:r w:rsidRPr="000A695A">
        <w:rPr>
          <w:b/>
          <w:sz w:val="24"/>
          <w:szCs w:val="24"/>
        </w:rPr>
        <w:t>Appendix E – VMT Adjustment Factors</w:t>
      </w:r>
    </w:p>
    <w:p w14:paraId="6C918031" w14:textId="77777777" w:rsidR="002F50E5" w:rsidRPr="005537E4" w:rsidRDefault="002F50E5" w:rsidP="002F50E5">
      <w:pPr>
        <w:jc w:val="center"/>
        <w:rPr>
          <w:b/>
        </w:rPr>
      </w:pPr>
      <w:r>
        <w:rPr>
          <w:b/>
        </w:rPr>
        <w:t xml:space="preserve">Ozone </w:t>
      </w:r>
      <w:r w:rsidRPr="005537E4">
        <w:rPr>
          <w:b/>
        </w:rPr>
        <w:t>VMT Adjustment Factors</w:t>
      </w:r>
    </w:p>
    <w:tbl>
      <w:tblPr>
        <w:tblW w:w="7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5"/>
        <w:gridCol w:w="1625"/>
        <w:gridCol w:w="1625"/>
        <w:gridCol w:w="1450"/>
      </w:tblGrid>
      <w:tr w:rsidR="002F50E5" w:rsidRPr="00D94D9D" w14:paraId="20CE5E3A" w14:textId="77777777" w:rsidTr="009D6BF6">
        <w:trPr>
          <w:trHeight w:val="270"/>
          <w:jc w:val="center"/>
        </w:trPr>
        <w:tc>
          <w:tcPr>
            <w:tcW w:w="30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4EFCE90" w14:textId="77777777" w:rsidR="002F50E5" w:rsidRPr="00D94D9D" w:rsidRDefault="002F50E5" w:rsidP="009D6BF6">
            <w:pPr>
              <w:pStyle w:val="NoSpacing"/>
              <w:jc w:val="center"/>
              <w:rPr>
                <w:rFonts w:asciiTheme="minorHAnsi" w:hAnsiTheme="minorHAnsi"/>
                <w:b/>
              </w:rPr>
            </w:pPr>
            <w:r w:rsidRPr="00D94D9D">
              <w:rPr>
                <w:rFonts w:asciiTheme="minorHAnsi" w:hAnsiTheme="minorHAnsi"/>
                <w:b/>
              </w:rPr>
              <w:t>Functional Class Name</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tcPr>
          <w:p w14:paraId="1ED44068" w14:textId="23096749" w:rsidR="002F50E5" w:rsidRPr="00D94D9D" w:rsidRDefault="002F50E5" w:rsidP="009D6BF6">
            <w:pPr>
              <w:pStyle w:val="NoSpacing"/>
              <w:jc w:val="center"/>
              <w:rPr>
                <w:rFonts w:asciiTheme="minorHAnsi" w:hAnsiTheme="minorHAnsi"/>
                <w:b/>
              </w:rPr>
            </w:pPr>
            <w:r w:rsidRPr="00D94D9D">
              <w:rPr>
                <w:rFonts w:asciiTheme="minorHAnsi" w:hAnsiTheme="minorHAnsi"/>
                <w:b/>
              </w:rPr>
              <w:t>Functional Classification</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FB7A44E" w14:textId="77777777" w:rsidR="002F50E5" w:rsidRPr="00D94D9D" w:rsidRDefault="002F50E5" w:rsidP="009D6BF6">
            <w:pPr>
              <w:pStyle w:val="NoSpacing"/>
              <w:jc w:val="center"/>
              <w:rPr>
                <w:rFonts w:asciiTheme="minorHAnsi" w:hAnsiTheme="minorHAnsi"/>
                <w:b/>
              </w:rPr>
            </w:pPr>
            <w:r w:rsidRPr="00D94D9D">
              <w:rPr>
                <w:rFonts w:asciiTheme="minorHAnsi" w:hAnsiTheme="minorHAnsi"/>
                <w:b/>
              </w:rPr>
              <w:t>Factor for 13 County Area</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14:paraId="53272BF6" w14:textId="77777777" w:rsidR="002F50E5" w:rsidRPr="00D94D9D" w:rsidRDefault="002F50E5" w:rsidP="009D6BF6">
            <w:pPr>
              <w:pStyle w:val="NoSpacing"/>
              <w:jc w:val="center"/>
              <w:rPr>
                <w:rFonts w:asciiTheme="minorHAnsi" w:hAnsiTheme="minorHAnsi"/>
                <w:b/>
              </w:rPr>
            </w:pPr>
            <w:r w:rsidRPr="00D94D9D">
              <w:rPr>
                <w:rFonts w:asciiTheme="minorHAnsi" w:hAnsiTheme="minorHAnsi"/>
                <w:b/>
              </w:rPr>
              <w:t>Factor for 7 County Area</w:t>
            </w:r>
          </w:p>
        </w:tc>
      </w:tr>
      <w:tr w:rsidR="003A6A0A" w:rsidRPr="00D94D9D" w14:paraId="7F0A9822" w14:textId="77777777" w:rsidTr="009D6BF6">
        <w:trPr>
          <w:trHeight w:val="270"/>
          <w:jc w:val="center"/>
        </w:trPr>
        <w:tc>
          <w:tcPr>
            <w:tcW w:w="30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1C0847F" w14:textId="4D63917B" w:rsidR="003A6A0A" w:rsidRPr="003A6A0A" w:rsidRDefault="003A6A0A" w:rsidP="009D6BF6">
            <w:pPr>
              <w:pStyle w:val="NoSpacing"/>
              <w:jc w:val="center"/>
              <w:rPr>
                <w:rFonts w:asciiTheme="minorHAnsi" w:hAnsiTheme="minorHAnsi"/>
              </w:rPr>
            </w:pPr>
            <w:r>
              <w:rPr>
                <w:rFonts w:asciiTheme="minorHAnsi" w:hAnsiTheme="minorHAnsi"/>
              </w:rPr>
              <w:t>Rural Interstate</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tcPr>
          <w:p w14:paraId="21A7AC18" w14:textId="7FD10B53" w:rsidR="003A6A0A" w:rsidRPr="003A6A0A" w:rsidRDefault="003A6A0A" w:rsidP="009D6BF6">
            <w:pPr>
              <w:pStyle w:val="NoSpacing"/>
              <w:jc w:val="center"/>
              <w:rPr>
                <w:rFonts w:asciiTheme="minorHAnsi" w:hAnsiTheme="minorHAnsi"/>
              </w:rPr>
            </w:pPr>
            <w:r>
              <w:rPr>
                <w:rFonts w:asciiTheme="minorHAnsi" w:hAnsiTheme="minorHAnsi"/>
              </w:rPr>
              <w:t>1</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881D1C9" w14:textId="458F6DD8" w:rsidR="003A6A0A" w:rsidRPr="003A6A0A" w:rsidRDefault="00485C7E" w:rsidP="009D6BF6">
            <w:pPr>
              <w:pStyle w:val="NoSpacing"/>
              <w:jc w:val="center"/>
              <w:rPr>
                <w:rFonts w:asciiTheme="minorHAnsi" w:hAnsiTheme="minorHAnsi"/>
              </w:rPr>
            </w:pPr>
            <w:r>
              <w:rPr>
                <w:rFonts w:asciiTheme="minorHAnsi" w:hAnsiTheme="minorHAnsi"/>
              </w:rPr>
              <w:t>1.02</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14:paraId="6759E748" w14:textId="0E6FBA25" w:rsidR="003A6A0A" w:rsidRPr="003A6A0A" w:rsidRDefault="002F4B2F" w:rsidP="009D6BF6">
            <w:pPr>
              <w:pStyle w:val="NoSpacing"/>
              <w:jc w:val="center"/>
              <w:rPr>
                <w:rFonts w:asciiTheme="minorHAnsi" w:hAnsiTheme="minorHAnsi"/>
              </w:rPr>
            </w:pPr>
            <w:r>
              <w:rPr>
                <w:rFonts w:asciiTheme="minorHAnsi" w:hAnsiTheme="minorHAnsi"/>
              </w:rPr>
              <w:t>0.8</w:t>
            </w:r>
            <w:r w:rsidR="00485C7E">
              <w:rPr>
                <w:rFonts w:asciiTheme="minorHAnsi" w:hAnsiTheme="minorHAnsi"/>
              </w:rPr>
              <w:t>7</w:t>
            </w:r>
          </w:p>
        </w:tc>
      </w:tr>
      <w:tr w:rsidR="003A6A0A" w:rsidRPr="00D94D9D" w14:paraId="7AA8A5BF" w14:textId="77777777" w:rsidTr="009D6BF6">
        <w:trPr>
          <w:trHeight w:val="270"/>
          <w:jc w:val="center"/>
        </w:trPr>
        <w:tc>
          <w:tcPr>
            <w:tcW w:w="30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AFB6186" w14:textId="28D5D081" w:rsidR="003A6A0A" w:rsidRPr="003A6A0A" w:rsidRDefault="003A6A0A" w:rsidP="009D6BF6">
            <w:pPr>
              <w:pStyle w:val="NoSpacing"/>
              <w:jc w:val="center"/>
              <w:rPr>
                <w:rFonts w:asciiTheme="minorHAnsi" w:hAnsiTheme="minorHAnsi"/>
              </w:rPr>
            </w:pPr>
            <w:r>
              <w:rPr>
                <w:rFonts w:asciiTheme="minorHAnsi" w:hAnsiTheme="minorHAnsi"/>
              </w:rPr>
              <w:t>Rural Principal Arterial</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tcPr>
          <w:p w14:paraId="28D93A82" w14:textId="400C5257" w:rsidR="003A6A0A" w:rsidRPr="003A6A0A" w:rsidRDefault="003A6A0A" w:rsidP="003A6A0A">
            <w:pPr>
              <w:pStyle w:val="NoSpacing"/>
              <w:jc w:val="center"/>
              <w:rPr>
                <w:rFonts w:asciiTheme="minorHAnsi" w:hAnsiTheme="minorHAnsi"/>
              </w:rPr>
            </w:pPr>
            <w:r>
              <w:rPr>
                <w:rFonts w:asciiTheme="minorHAnsi" w:hAnsiTheme="minorHAnsi"/>
              </w:rPr>
              <w:t>2</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0A64520" w14:textId="07AEB590" w:rsidR="003A6A0A" w:rsidRPr="003A6A0A" w:rsidRDefault="005701F5" w:rsidP="009D6BF6">
            <w:pPr>
              <w:pStyle w:val="NoSpacing"/>
              <w:jc w:val="center"/>
              <w:rPr>
                <w:rFonts w:asciiTheme="minorHAnsi" w:hAnsiTheme="minorHAnsi"/>
              </w:rPr>
            </w:pPr>
            <w:r>
              <w:rPr>
                <w:rFonts w:asciiTheme="minorHAnsi" w:hAnsiTheme="minorHAnsi"/>
              </w:rPr>
              <w:t>0.9</w:t>
            </w:r>
            <w:r w:rsidR="00485C7E">
              <w:rPr>
                <w:rFonts w:asciiTheme="minorHAnsi" w:hAnsiTheme="minorHAnsi"/>
              </w:rPr>
              <w:t>4</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14:paraId="75B6A36E" w14:textId="3FDB845A" w:rsidR="003A6A0A" w:rsidRPr="003A6A0A" w:rsidRDefault="002F4B2F" w:rsidP="009D6BF6">
            <w:pPr>
              <w:pStyle w:val="NoSpacing"/>
              <w:jc w:val="center"/>
              <w:rPr>
                <w:rFonts w:asciiTheme="minorHAnsi" w:hAnsiTheme="minorHAnsi"/>
              </w:rPr>
            </w:pPr>
            <w:r>
              <w:rPr>
                <w:rFonts w:asciiTheme="minorHAnsi" w:hAnsiTheme="minorHAnsi"/>
              </w:rPr>
              <w:t>0.9</w:t>
            </w:r>
            <w:r w:rsidR="00485C7E">
              <w:rPr>
                <w:rFonts w:asciiTheme="minorHAnsi" w:hAnsiTheme="minorHAnsi"/>
              </w:rPr>
              <w:t>3</w:t>
            </w:r>
          </w:p>
        </w:tc>
      </w:tr>
      <w:tr w:rsidR="003A6A0A" w:rsidRPr="00D94D9D" w14:paraId="618C7402" w14:textId="77777777" w:rsidTr="009D6BF6">
        <w:trPr>
          <w:trHeight w:val="270"/>
          <w:jc w:val="center"/>
        </w:trPr>
        <w:tc>
          <w:tcPr>
            <w:tcW w:w="30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37432D7" w14:textId="687846F2" w:rsidR="003A6A0A" w:rsidRPr="003A6A0A" w:rsidRDefault="003A6A0A" w:rsidP="009D6BF6">
            <w:pPr>
              <w:pStyle w:val="NoSpacing"/>
              <w:jc w:val="center"/>
              <w:rPr>
                <w:rFonts w:asciiTheme="minorHAnsi" w:hAnsiTheme="minorHAnsi"/>
              </w:rPr>
            </w:pPr>
            <w:r>
              <w:rPr>
                <w:rFonts w:asciiTheme="minorHAnsi" w:hAnsiTheme="minorHAnsi"/>
              </w:rPr>
              <w:t>Rural Minor Arterial</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tcPr>
          <w:p w14:paraId="3BCF2312" w14:textId="69469EA2" w:rsidR="003A6A0A" w:rsidRPr="003A6A0A" w:rsidRDefault="003A6A0A" w:rsidP="009D6BF6">
            <w:pPr>
              <w:pStyle w:val="NoSpacing"/>
              <w:jc w:val="center"/>
              <w:rPr>
                <w:rFonts w:asciiTheme="minorHAnsi" w:hAnsiTheme="minorHAnsi"/>
              </w:rPr>
            </w:pPr>
            <w:r>
              <w:rPr>
                <w:rFonts w:asciiTheme="minorHAnsi" w:hAnsiTheme="minorHAnsi"/>
              </w:rPr>
              <w:t>6</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4812F86" w14:textId="19721C07" w:rsidR="003A6A0A" w:rsidRPr="003A6A0A" w:rsidRDefault="005701F5" w:rsidP="009D6BF6">
            <w:pPr>
              <w:pStyle w:val="NoSpacing"/>
              <w:jc w:val="center"/>
              <w:rPr>
                <w:rFonts w:asciiTheme="minorHAnsi" w:hAnsiTheme="minorHAnsi"/>
              </w:rPr>
            </w:pPr>
            <w:r>
              <w:rPr>
                <w:rFonts w:asciiTheme="minorHAnsi" w:hAnsiTheme="minorHAnsi"/>
              </w:rPr>
              <w:t>0.9</w:t>
            </w:r>
            <w:r w:rsidR="00485C7E">
              <w:rPr>
                <w:rFonts w:asciiTheme="minorHAnsi" w:hAnsiTheme="minorHAnsi"/>
              </w:rPr>
              <w:t>4</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14:paraId="3B08F42F" w14:textId="0B25C861" w:rsidR="003A6A0A" w:rsidRPr="003A6A0A" w:rsidRDefault="002F4B2F" w:rsidP="009D6BF6">
            <w:pPr>
              <w:pStyle w:val="NoSpacing"/>
              <w:jc w:val="center"/>
              <w:rPr>
                <w:rFonts w:asciiTheme="minorHAnsi" w:hAnsiTheme="minorHAnsi"/>
              </w:rPr>
            </w:pPr>
            <w:r>
              <w:rPr>
                <w:rFonts w:asciiTheme="minorHAnsi" w:hAnsiTheme="minorHAnsi"/>
              </w:rPr>
              <w:t>0.9</w:t>
            </w:r>
            <w:r w:rsidR="00485C7E">
              <w:rPr>
                <w:rFonts w:asciiTheme="minorHAnsi" w:hAnsiTheme="minorHAnsi"/>
              </w:rPr>
              <w:t>3</w:t>
            </w:r>
          </w:p>
        </w:tc>
      </w:tr>
      <w:tr w:rsidR="003A6A0A" w:rsidRPr="00D94D9D" w14:paraId="34971A14" w14:textId="77777777" w:rsidTr="009D6BF6">
        <w:trPr>
          <w:trHeight w:val="270"/>
          <w:jc w:val="center"/>
        </w:trPr>
        <w:tc>
          <w:tcPr>
            <w:tcW w:w="30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29BA2BD" w14:textId="4F9636F9" w:rsidR="003A6A0A" w:rsidRPr="003A6A0A" w:rsidRDefault="003A6A0A" w:rsidP="009D6BF6">
            <w:pPr>
              <w:pStyle w:val="NoSpacing"/>
              <w:jc w:val="center"/>
              <w:rPr>
                <w:rFonts w:asciiTheme="minorHAnsi" w:hAnsiTheme="minorHAnsi"/>
              </w:rPr>
            </w:pPr>
            <w:r>
              <w:rPr>
                <w:rFonts w:asciiTheme="minorHAnsi" w:hAnsiTheme="minorHAnsi"/>
              </w:rPr>
              <w:t>Rural Major Collector</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tcPr>
          <w:p w14:paraId="57BF1C01" w14:textId="50C7C67F" w:rsidR="003A6A0A" w:rsidRPr="003A6A0A" w:rsidRDefault="003A6A0A" w:rsidP="009D6BF6">
            <w:pPr>
              <w:pStyle w:val="NoSpacing"/>
              <w:jc w:val="center"/>
              <w:rPr>
                <w:rFonts w:asciiTheme="minorHAnsi" w:hAnsiTheme="minorHAnsi"/>
              </w:rPr>
            </w:pPr>
            <w:r>
              <w:rPr>
                <w:rFonts w:asciiTheme="minorHAnsi" w:hAnsiTheme="minorHAnsi"/>
              </w:rPr>
              <w:t>7</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9A22934" w14:textId="21A35047" w:rsidR="003A6A0A" w:rsidRPr="003A6A0A" w:rsidRDefault="005701F5" w:rsidP="009D6BF6">
            <w:pPr>
              <w:pStyle w:val="NoSpacing"/>
              <w:jc w:val="center"/>
              <w:rPr>
                <w:rFonts w:asciiTheme="minorHAnsi" w:hAnsiTheme="minorHAnsi"/>
              </w:rPr>
            </w:pPr>
            <w:r>
              <w:rPr>
                <w:rFonts w:asciiTheme="minorHAnsi" w:hAnsiTheme="minorHAnsi"/>
              </w:rPr>
              <w:t>1.14</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14:paraId="3D139DBC" w14:textId="3B9B26A6" w:rsidR="003A6A0A" w:rsidRPr="003A6A0A" w:rsidRDefault="002F4B2F" w:rsidP="009D6BF6">
            <w:pPr>
              <w:pStyle w:val="NoSpacing"/>
              <w:jc w:val="center"/>
              <w:rPr>
                <w:rFonts w:asciiTheme="minorHAnsi" w:hAnsiTheme="minorHAnsi"/>
              </w:rPr>
            </w:pPr>
            <w:r>
              <w:rPr>
                <w:rFonts w:asciiTheme="minorHAnsi" w:hAnsiTheme="minorHAnsi"/>
              </w:rPr>
              <w:t>0.</w:t>
            </w:r>
            <w:r w:rsidR="00485C7E">
              <w:rPr>
                <w:rFonts w:asciiTheme="minorHAnsi" w:hAnsiTheme="minorHAnsi"/>
              </w:rPr>
              <w:t>80</w:t>
            </w:r>
          </w:p>
        </w:tc>
      </w:tr>
      <w:tr w:rsidR="003A6A0A" w:rsidRPr="00D94D9D" w14:paraId="3A4267F0" w14:textId="77777777" w:rsidTr="009D6BF6">
        <w:trPr>
          <w:trHeight w:val="270"/>
          <w:jc w:val="center"/>
        </w:trPr>
        <w:tc>
          <w:tcPr>
            <w:tcW w:w="30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36ED4BF" w14:textId="2029622B" w:rsidR="003A6A0A" w:rsidRPr="003A6A0A" w:rsidRDefault="003A6A0A" w:rsidP="009D6BF6">
            <w:pPr>
              <w:pStyle w:val="NoSpacing"/>
              <w:jc w:val="center"/>
              <w:rPr>
                <w:rFonts w:asciiTheme="minorHAnsi" w:hAnsiTheme="minorHAnsi"/>
              </w:rPr>
            </w:pPr>
            <w:r>
              <w:rPr>
                <w:rFonts w:asciiTheme="minorHAnsi" w:hAnsiTheme="minorHAnsi"/>
              </w:rPr>
              <w:t>Rural Minor Collector</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tcPr>
          <w:p w14:paraId="7DE48936" w14:textId="1B16E063" w:rsidR="003A6A0A" w:rsidRPr="003A6A0A" w:rsidRDefault="003A6A0A" w:rsidP="009D6BF6">
            <w:pPr>
              <w:pStyle w:val="NoSpacing"/>
              <w:jc w:val="center"/>
              <w:rPr>
                <w:rFonts w:asciiTheme="minorHAnsi" w:hAnsiTheme="minorHAnsi"/>
              </w:rPr>
            </w:pPr>
            <w:r>
              <w:rPr>
                <w:rFonts w:asciiTheme="minorHAnsi" w:hAnsiTheme="minorHAnsi"/>
              </w:rPr>
              <w:t>8</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370D720" w14:textId="3CC3CBAC" w:rsidR="003A6A0A" w:rsidRPr="003A6A0A" w:rsidRDefault="005701F5" w:rsidP="009D6BF6">
            <w:pPr>
              <w:pStyle w:val="NoSpacing"/>
              <w:jc w:val="center"/>
              <w:rPr>
                <w:rFonts w:asciiTheme="minorHAnsi" w:hAnsiTheme="minorHAnsi"/>
              </w:rPr>
            </w:pPr>
            <w:r>
              <w:rPr>
                <w:rFonts w:asciiTheme="minorHAnsi" w:hAnsiTheme="minorHAnsi"/>
              </w:rPr>
              <w:t>1.14</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14:paraId="5AF9BFDD" w14:textId="5B9C0555" w:rsidR="003A6A0A" w:rsidRPr="003A6A0A" w:rsidRDefault="002F4B2F" w:rsidP="009D6BF6">
            <w:pPr>
              <w:pStyle w:val="NoSpacing"/>
              <w:jc w:val="center"/>
              <w:rPr>
                <w:rFonts w:asciiTheme="minorHAnsi" w:hAnsiTheme="minorHAnsi"/>
              </w:rPr>
            </w:pPr>
            <w:r>
              <w:rPr>
                <w:rFonts w:asciiTheme="minorHAnsi" w:hAnsiTheme="minorHAnsi"/>
              </w:rPr>
              <w:t>0.</w:t>
            </w:r>
            <w:r w:rsidR="00485C7E">
              <w:rPr>
                <w:rFonts w:asciiTheme="minorHAnsi" w:hAnsiTheme="minorHAnsi"/>
              </w:rPr>
              <w:t>80</w:t>
            </w:r>
          </w:p>
        </w:tc>
      </w:tr>
      <w:tr w:rsidR="003A6A0A" w:rsidRPr="00D94D9D" w14:paraId="5CD168BF" w14:textId="77777777" w:rsidTr="009D6BF6">
        <w:trPr>
          <w:trHeight w:val="270"/>
          <w:jc w:val="center"/>
        </w:trPr>
        <w:tc>
          <w:tcPr>
            <w:tcW w:w="30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3C482A1" w14:textId="19545D4A" w:rsidR="003A6A0A" w:rsidRPr="003A6A0A" w:rsidRDefault="003A6A0A" w:rsidP="009D6BF6">
            <w:pPr>
              <w:pStyle w:val="NoSpacing"/>
              <w:jc w:val="center"/>
              <w:rPr>
                <w:rFonts w:asciiTheme="minorHAnsi" w:hAnsiTheme="minorHAnsi"/>
              </w:rPr>
            </w:pPr>
            <w:r>
              <w:rPr>
                <w:rFonts w:asciiTheme="minorHAnsi" w:hAnsiTheme="minorHAnsi"/>
              </w:rPr>
              <w:t>Rural Local Collector</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tcPr>
          <w:p w14:paraId="54D448C8" w14:textId="0379ED9D" w:rsidR="003A6A0A" w:rsidRPr="003A6A0A" w:rsidRDefault="003A6A0A" w:rsidP="003A6A0A">
            <w:pPr>
              <w:pStyle w:val="NoSpacing"/>
              <w:jc w:val="center"/>
              <w:rPr>
                <w:rFonts w:asciiTheme="minorHAnsi" w:hAnsiTheme="minorHAnsi"/>
              </w:rPr>
            </w:pPr>
            <w:r>
              <w:rPr>
                <w:rFonts w:asciiTheme="minorHAnsi" w:hAnsiTheme="minorHAnsi"/>
              </w:rPr>
              <w:t>9</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EF908E1" w14:textId="580F1E17" w:rsidR="003A6A0A" w:rsidRPr="003A6A0A" w:rsidRDefault="00485C7E" w:rsidP="009D6BF6">
            <w:pPr>
              <w:pStyle w:val="NoSpacing"/>
              <w:jc w:val="center"/>
              <w:rPr>
                <w:rFonts w:asciiTheme="minorHAnsi" w:hAnsiTheme="minorHAnsi"/>
              </w:rPr>
            </w:pPr>
            <w:r>
              <w:rPr>
                <w:rFonts w:asciiTheme="minorHAnsi" w:hAnsiTheme="minorHAnsi"/>
              </w:rPr>
              <w:t>2</w:t>
            </w:r>
            <w:r w:rsidR="005701F5">
              <w:rPr>
                <w:rFonts w:asciiTheme="minorHAnsi" w:hAnsiTheme="minorHAnsi"/>
              </w:rPr>
              <w:t>.</w:t>
            </w:r>
            <w:r>
              <w:rPr>
                <w:rFonts w:asciiTheme="minorHAnsi" w:hAnsiTheme="minorHAnsi"/>
              </w:rPr>
              <w:t>20</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14:paraId="62D692FA" w14:textId="1024236B" w:rsidR="003A6A0A" w:rsidRPr="003A6A0A" w:rsidRDefault="002F4B2F" w:rsidP="009D6BF6">
            <w:pPr>
              <w:pStyle w:val="NoSpacing"/>
              <w:jc w:val="center"/>
              <w:rPr>
                <w:rFonts w:asciiTheme="minorHAnsi" w:hAnsiTheme="minorHAnsi"/>
              </w:rPr>
            </w:pPr>
            <w:r>
              <w:rPr>
                <w:rFonts w:asciiTheme="minorHAnsi" w:hAnsiTheme="minorHAnsi"/>
              </w:rPr>
              <w:t>2.</w:t>
            </w:r>
            <w:r w:rsidR="00485C7E">
              <w:rPr>
                <w:rFonts w:asciiTheme="minorHAnsi" w:hAnsiTheme="minorHAnsi"/>
              </w:rPr>
              <w:t>41</w:t>
            </w:r>
          </w:p>
        </w:tc>
      </w:tr>
      <w:tr w:rsidR="003A6A0A" w:rsidRPr="00D94D9D" w14:paraId="670CF6E0" w14:textId="77777777" w:rsidTr="009D6BF6">
        <w:trPr>
          <w:trHeight w:val="270"/>
          <w:jc w:val="center"/>
        </w:trPr>
        <w:tc>
          <w:tcPr>
            <w:tcW w:w="30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CB821E0" w14:textId="1CC5D677" w:rsidR="003A6A0A" w:rsidRPr="003A6A0A" w:rsidRDefault="003A6A0A" w:rsidP="003A6A0A">
            <w:pPr>
              <w:pStyle w:val="NoSpacing"/>
              <w:jc w:val="center"/>
              <w:rPr>
                <w:rFonts w:asciiTheme="minorHAnsi" w:hAnsiTheme="minorHAnsi"/>
              </w:rPr>
            </w:pPr>
            <w:r>
              <w:rPr>
                <w:rFonts w:asciiTheme="minorHAnsi" w:hAnsiTheme="minorHAnsi"/>
              </w:rPr>
              <w:t>Urban Interstate</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tcPr>
          <w:p w14:paraId="7EF84FC9" w14:textId="69AAD97C" w:rsidR="003A6A0A" w:rsidRPr="003A6A0A" w:rsidRDefault="003A6A0A" w:rsidP="003A6A0A">
            <w:pPr>
              <w:pStyle w:val="NoSpacing"/>
              <w:jc w:val="center"/>
              <w:rPr>
                <w:rFonts w:asciiTheme="minorHAnsi" w:hAnsiTheme="minorHAnsi"/>
              </w:rPr>
            </w:pPr>
            <w:r>
              <w:rPr>
                <w:rFonts w:asciiTheme="minorHAnsi" w:hAnsiTheme="minorHAnsi"/>
              </w:rPr>
              <w:t>11</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719D8D1" w14:textId="72B03421" w:rsidR="003A6A0A" w:rsidRPr="003A6A0A" w:rsidRDefault="00485C7E" w:rsidP="003A6A0A">
            <w:pPr>
              <w:pStyle w:val="NoSpacing"/>
              <w:jc w:val="center"/>
              <w:rPr>
                <w:rFonts w:asciiTheme="minorHAnsi" w:hAnsiTheme="minorHAnsi"/>
              </w:rPr>
            </w:pPr>
            <w:r>
              <w:rPr>
                <w:rFonts w:asciiTheme="minorHAnsi" w:hAnsiTheme="minorHAnsi"/>
              </w:rPr>
              <w:t>1</w:t>
            </w:r>
            <w:r w:rsidR="005701F5">
              <w:rPr>
                <w:rFonts w:asciiTheme="minorHAnsi" w:hAnsiTheme="minorHAnsi"/>
              </w:rPr>
              <w:t>.</w:t>
            </w:r>
            <w:r>
              <w:rPr>
                <w:rFonts w:asciiTheme="minorHAnsi" w:hAnsiTheme="minorHAnsi"/>
              </w:rPr>
              <w:t>02</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14:paraId="559F9B12" w14:textId="2F38D40D" w:rsidR="003A6A0A" w:rsidRPr="003A6A0A" w:rsidRDefault="002F4B2F" w:rsidP="003A6A0A">
            <w:pPr>
              <w:pStyle w:val="NoSpacing"/>
              <w:jc w:val="center"/>
              <w:rPr>
                <w:rFonts w:asciiTheme="minorHAnsi" w:hAnsiTheme="minorHAnsi"/>
              </w:rPr>
            </w:pPr>
            <w:r>
              <w:rPr>
                <w:rFonts w:asciiTheme="minorHAnsi" w:hAnsiTheme="minorHAnsi"/>
              </w:rPr>
              <w:t>0.8</w:t>
            </w:r>
            <w:r w:rsidR="00485C7E">
              <w:rPr>
                <w:rFonts w:asciiTheme="minorHAnsi" w:hAnsiTheme="minorHAnsi"/>
              </w:rPr>
              <w:t>7</w:t>
            </w:r>
          </w:p>
        </w:tc>
      </w:tr>
      <w:tr w:rsidR="003A6A0A" w:rsidRPr="00D94D9D" w14:paraId="25EDDC41" w14:textId="77777777" w:rsidTr="009D6BF6">
        <w:trPr>
          <w:trHeight w:val="270"/>
          <w:jc w:val="center"/>
        </w:trPr>
        <w:tc>
          <w:tcPr>
            <w:tcW w:w="30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CE6349F" w14:textId="0EBEF337" w:rsidR="003A6A0A" w:rsidRPr="003A6A0A" w:rsidRDefault="003A6A0A" w:rsidP="003A6A0A">
            <w:pPr>
              <w:pStyle w:val="NoSpacing"/>
              <w:jc w:val="center"/>
              <w:rPr>
                <w:rFonts w:asciiTheme="minorHAnsi" w:hAnsiTheme="minorHAnsi"/>
              </w:rPr>
            </w:pPr>
            <w:r>
              <w:rPr>
                <w:rFonts w:asciiTheme="minorHAnsi" w:hAnsiTheme="minorHAnsi"/>
              </w:rPr>
              <w:t>Urban Principal Arterial</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tcPr>
          <w:p w14:paraId="667D7D25" w14:textId="22411661" w:rsidR="003A6A0A" w:rsidRPr="003A6A0A" w:rsidRDefault="003A6A0A" w:rsidP="003A6A0A">
            <w:pPr>
              <w:pStyle w:val="NoSpacing"/>
              <w:jc w:val="center"/>
              <w:rPr>
                <w:rFonts w:asciiTheme="minorHAnsi" w:hAnsiTheme="minorHAnsi"/>
              </w:rPr>
            </w:pPr>
            <w:r>
              <w:rPr>
                <w:rFonts w:asciiTheme="minorHAnsi" w:hAnsiTheme="minorHAnsi"/>
              </w:rPr>
              <w:t>12</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736D5EC" w14:textId="5FAA94D1" w:rsidR="003A6A0A" w:rsidRPr="003A6A0A" w:rsidRDefault="00485C7E" w:rsidP="003A6A0A">
            <w:pPr>
              <w:pStyle w:val="NoSpacing"/>
              <w:jc w:val="center"/>
              <w:rPr>
                <w:rFonts w:asciiTheme="minorHAnsi" w:hAnsiTheme="minorHAnsi"/>
              </w:rPr>
            </w:pPr>
            <w:r>
              <w:rPr>
                <w:rFonts w:asciiTheme="minorHAnsi" w:hAnsiTheme="minorHAnsi"/>
              </w:rPr>
              <w:t>1</w:t>
            </w:r>
            <w:r w:rsidR="005701F5">
              <w:rPr>
                <w:rFonts w:asciiTheme="minorHAnsi" w:hAnsiTheme="minorHAnsi"/>
              </w:rPr>
              <w:t>.</w:t>
            </w:r>
            <w:r>
              <w:rPr>
                <w:rFonts w:asciiTheme="minorHAnsi" w:hAnsiTheme="minorHAnsi"/>
              </w:rPr>
              <w:t>02</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14:paraId="0DB9A4A4" w14:textId="5132CC6E" w:rsidR="003A6A0A" w:rsidRPr="003A6A0A" w:rsidRDefault="002F4B2F" w:rsidP="003A6A0A">
            <w:pPr>
              <w:pStyle w:val="NoSpacing"/>
              <w:jc w:val="center"/>
              <w:rPr>
                <w:rFonts w:asciiTheme="minorHAnsi" w:hAnsiTheme="minorHAnsi"/>
              </w:rPr>
            </w:pPr>
            <w:r>
              <w:rPr>
                <w:rFonts w:asciiTheme="minorHAnsi" w:hAnsiTheme="minorHAnsi"/>
              </w:rPr>
              <w:t>0.8</w:t>
            </w:r>
            <w:r w:rsidR="00485C7E">
              <w:rPr>
                <w:rFonts w:asciiTheme="minorHAnsi" w:hAnsiTheme="minorHAnsi"/>
              </w:rPr>
              <w:t>7</w:t>
            </w:r>
          </w:p>
        </w:tc>
      </w:tr>
      <w:tr w:rsidR="003A6A0A" w:rsidRPr="00D94D9D" w14:paraId="03C20287" w14:textId="77777777" w:rsidTr="009D6BF6">
        <w:trPr>
          <w:trHeight w:val="270"/>
          <w:jc w:val="center"/>
        </w:trPr>
        <w:tc>
          <w:tcPr>
            <w:tcW w:w="30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F563779" w14:textId="6AEA2E9C" w:rsidR="003A6A0A" w:rsidRPr="003A6A0A" w:rsidRDefault="003A6A0A" w:rsidP="003A6A0A">
            <w:pPr>
              <w:pStyle w:val="NoSpacing"/>
              <w:jc w:val="center"/>
              <w:rPr>
                <w:rFonts w:asciiTheme="minorHAnsi" w:hAnsiTheme="minorHAnsi"/>
              </w:rPr>
            </w:pPr>
            <w:r>
              <w:rPr>
                <w:rFonts w:asciiTheme="minorHAnsi" w:hAnsiTheme="minorHAnsi"/>
              </w:rPr>
              <w:t>Urban Minor Arterial</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tcPr>
          <w:p w14:paraId="499ACF3C" w14:textId="5BC60AB8" w:rsidR="003A6A0A" w:rsidRPr="003A6A0A" w:rsidRDefault="003A6A0A" w:rsidP="003A6A0A">
            <w:pPr>
              <w:pStyle w:val="NoSpacing"/>
              <w:jc w:val="center"/>
              <w:rPr>
                <w:rFonts w:asciiTheme="minorHAnsi" w:hAnsiTheme="minorHAnsi"/>
              </w:rPr>
            </w:pPr>
            <w:r>
              <w:rPr>
                <w:rFonts w:asciiTheme="minorHAnsi" w:hAnsiTheme="minorHAnsi"/>
              </w:rPr>
              <w:t>14</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30D0610" w14:textId="4F1FA501" w:rsidR="003A6A0A" w:rsidRPr="003A6A0A" w:rsidRDefault="005701F5" w:rsidP="003A6A0A">
            <w:pPr>
              <w:pStyle w:val="NoSpacing"/>
              <w:jc w:val="center"/>
              <w:rPr>
                <w:rFonts w:asciiTheme="minorHAnsi" w:hAnsiTheme="minorHAnsi"/>
              </w:rPr>
            </w:pPr>
            <w:r>
              <w:rPr>
                <w:rFonts w:asciiTheme="minorHAnsi" w:hAnsiTheme="minorHAnsi"/>
              </w:rPr>
              <w:t>0.9</w:t>
            </w:r>
            <w:r w:rsidR="00485C7E">
              <w:rPr>
                <w:rFonts w:asciiTheme="minorHAnsi" w:hAnsiTheme="minorHAnsi"/>
              </w:rPr>
              <w:t>4</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14:paraId="35AE88C7" w14:textId="4628E90C" w:rsidR="003A6A0A" w:rsidRPr="003A6A0A" w:rsidRDefault="002F4B2F" w:rsidP="003A6A0A">
            <w:pPr>
              <w:pStyle w:val="NoSpacing"/>
              <w:jc w:val="center"/>
              <w:rPr>
                <w:rFonts w:asciiTheme="minorHAnsi" w:hAnsiTheme="minorHAnsi"/>
              </w:rPr>
            </w:pPr>
            <w:r>
              <w:rPr>
                <w:rFonts w:asciiTheme="minorHAnsi" w:hAnsiTheme="minorHAnsi"/>
              </w:rPr>
              <w:t>0.9</w:t>
            </w:r>
            <w:r w:rsidR="00485C7E">
              <w:rPr>
                <w:rFonts w:asciiTheme="minorHAnsi" w:hAnsiTheme="minorHAnsi"/>
              </w:rPr>
              <w:t>3</w:t>
            </w:r>
          </w:p>
        </w:tc>
      </w:tr>
      <w:tr w:rsidR="003A6A0A" w:rsidRPr="00D94D9D" w14:paraId="6153F5C2" w14:textId="77777777" w:rsidTr="009D6BF6">
        <w:trPr>
          <w:trHeight w:val="270"/>
          <w:jc w:val="center"/>
        </w:trPr>
        <w:tc>
          <w:tcPr>
            <w:tcW w:w="30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A0E2578" w14:textId="024BE5A6" w:rsidR="003A6A0A" w:rsidRPr="003A6A0A" w:rsidRDefault="003A6A0A" w:rsidP="003A6A0A">
            <w:pPr>
              <w:pStyle w:val="NoSpacing"/>
              <w:jc w:val="center"/>
              <w:rPr>
                <w:rFonts w:asciiTheme="minorHAnsi" w:hAnsiTheme="minorHAnsi"/>
              </w:rPr>
            </w:pPr>
            <w:r>
              <w:rPr>
                <w:rFonts w:asciiTheme="minorHAnsi" w:hAnsiTheme="minorHAnsi"/>
              </w:rPr>
              <w:t>Urban Major Collector</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tcPr>
          <w:p w14:paraId="4BC03B58" w14:textId="357B81B1" w:rsidR="003A6A0A" w:rsidRPr="003A6A0A" w:rsidRDefault="003A6A0A" w:rsidP="003A6A0A">
            <w:pPr>
              <w:pStyle w:val="NoSpacing"/>
              <w:jc w:val="center"/>
              <w:rPr>
                <w:rFonts w:asciiTheme="minorHAnsi" w:hAnsiTheme="minorHAnsi"/>
              </w:rPr>
            </w:pPr>
            <w:r>
              <w:rPr>
                <w:rFonts w:asciiTheme="minorHAnsi" w:hAnsiTheme="minorHAnsi"/>
              </w:rPr>
              <w:t>16</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8B17523" w14:textId="70B2D07B" w:rsidR="003A6A0A" w:rsidRPr="003A6A0A" w:rsidRDefault="005701F5" w:rsidP="003A6A0A">
            <w:pPr>
              <w:pStyle w:val="NoSpacing"/>
              <w:jc w:val="center"/>
              <w:rPr>
                <w:rFonts w:asciiTheme="minorHAnsi" w:hAnsiTheme="minorHAnsi"/>
              </w:rPr>
            </w:pPr>
            <w:r>
              <w:rPr>
                <w:rFonts w:asciiTheme="minorHAnsi" w:hAnsiTheme="minorHAnsi"/>
              </w:rPr>
              <w:t>0.9</w:t>
            </w:r>
            <w:r w:rsidR="00485C7E">
              <w:rPr>
                <w:rFonts w:asciiTheme="minorHAnsi" w:hAnsiTheme="minorHAnsi"/>
              </w:rPr>
              <w:t>4</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14:paraId="3AE79535" w14:textId="3EC9C2B5" w:rsidR="003A6A0A" w:rsidRPr="003A6A0A" w:rsidRDefault="002F4B2F" w:rsidP="003A6A0A">
            <w:pPr>
              <w:pStyle w:val="NoSpacing"/>
              <w:jc w:val="center"/>
              <w:rPr>
                <w:rFonts w:asciiTheme="minorHAnsi" w:hAnsiTheme="minorHAnsi"/>
              </w:rPr>
            </w:pPr>
            <w:r>
              <w:rPr>
                <w:rFonts w:asciiTheme="minorHAnsi" w:hAnsiTheme="minorHAnsi"/>
              </w:rPr>
              <w:t>0.9</w:t>
            </w:r>
            <w:r w:rsidR="00485C7E">
              <w:rPr>
                <w:rFonts w:asciiTheme="minorHAnsi" w:hAnsiTheme="minorHAnsi"/>
              </w:rPr>
              <w:t>3</w:t>
            </w:r>
          </w:p>
        </w:tc>
      </w:tr>
      <w:tr w:rsidR="003A6A0A" w:rsidRPr="00D94D9D" w14:paraId="25F92EAF" w14:textId="77777777" w:rsidTr="009D6BF6">
        <w:trPr>
          <w:trHeight w:val="270"/>
          <w:jc w:val="center"/>
        </w:trPr>
        <w:tc>
          <w:tcPr>
            <w:tcW w:w="30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1D3B1F1" w14:textId="3E870498" w:rsidR="003A6A0A" w:rsidRPr="003A6A0A" w:rsidRDefault="003A6A0A" w:rsidP="003A6A0A">
            <w:pPr>
              <w:pStyle w:val="NoSpacing"/>
              <w:jc w:val="center"/>
              <w:rPr>
                <w:rFonts w:asciiTheme="minorHAnsi" w:hAnsiTheme="minorHAnsi"/>
              </w:rPr>
            </w:pPr>
            <w:r>
              <w:rPr>
                <w:rFonts w:asciiTheme="minorHAnsi" w:hAnsiTheme="minorHAnsi"/>
              </w:rPr>
              <w:t>Urban Minor Collector</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tcPr>
          <w:p w14:paraId="315E0AFF" w14:textId="3A8DAE7E" w:rsidR="003A6A0A" w:rsidRPr="003A6A0A" w:rsidRDefault="003A6A0A" w:rsidP="003A6A0A">
            <w:pPr>
              <w:pStyle w:val="NoSpacing"/>
              <w:jc w:val="center"/>
              <w:rPr>
                <w:rFonts w:asciiTheme="minorHAnsi" w:hAnsiTheme="minorHAnsi"/>
              </w:rPr>
            </w:pPr>
            <w:r>
              <w:rPr>
                <w:rFonts w:asciiTheme="minorHAnsi" w:hAnsiTheme="minorHAnsi"/>
              </w:rPr>
              <w:t>17</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FD8A510" w14:textId="37F2BA7A" w:rsidR="003A6A0A" w:rsidRPr="003A6A0A" w:rsidRDefault="005701F5" w:rsidP="003A6A0A">
            <w:pPr>
              <w:pStyle w:val="NoSpacing"/>
              <w:jc w:val="center"/>
              <w:rPr>
                <w:rFonts w:asciiTheme="minorHAnsi" w:hAnsiTheme="minorHAnsi"/>
              </w:rPr>
            </w:pPr>
            <w:r>
              <w:rPr>
                <w:rFonts w:asciiTheme="minorHAnsi" w:hAnsiTheme="minorHAnsi"/>
              </w:rPr>
              <w:t>1.14</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14:paraId="35415225" w14:textId="54DC861A" w:rsidR="003A6A0A" w:rsidRPr="003A6A0A" w:rsidRDefault="002F4B2F" w:rsidP="003A6A0A">
            <w:pPr>
              <w:pStyle w:val="NoSpacing"/>
              <w:jc w:val="center"/>
              <w:rPr>
                <w:rFonts w:asciiTheme="minorHAnsi" w:hAnsiTheme="minorHAnsi"/>
              </w:rPr>
            </w:pPr>
            <w:r>
              <w:rPr>
                <w:rFonts w:asciiTheme="minorHAnsi" w:hAnsiTheme="minorHAnsi"/>
              </w:rPr>
              <w:t>0.</w:t>
            </w:r>
            <w:r w:rsidR="00485C7E">
              <w:rPr>
                <w:rFonts w:asciiTheme="minorHAnsi" w:hAnsiTheme="minorHAnsi"/>
              </w:rPr>
              <w:t>80</w:t>
            </w:r>
          </w:p>
        </w:tc>
      </w:tr>
      <w:tr w:rsidR="003A6A0A" w:rsidRPr="00D94D9D" w14:paraId="1E09AE58" w14:textId="77777777" w:rsidTr="009D6BF6">
        <w:trPr>
          <w:trHeight w:val="270"/>
          <w:jc w:val="center"/>
        </w:trPr>
        <w:tc>
          <w:tcPr>
            <w:tcW w:w="30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B83837C" w14:textId="04132428" w:rsidR="003A6A0A" w:rsidRPr="003A6A0A" w:rsidRDefault="003A6A0A" w:rsidP="003A6A0A">
            <w:pPr>
              <w:pStyle w:val="NoSpacing"/>
              <w:jc w:val="center"/>
              <w:rPr>
                <w:rFonts w:asciiTheme="minorHAnsi" w:hAnsiTheme="minorHAnsi"/>
              </w:rPr>
            </w:pPr>
            <w:r>
              <w:rPr>
                <w:rFonts w:asciiTheme="minorHAnsi" w:hAnsiTheme="minorHAnsi"/>
              </w:rPr>
              <w:t>Urban Local Collector</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tcPr>
          <w:p w14:paraId="6F5804FC" w14:textId="1179D631" w:rsidR="003A6A0A" w:rsidRPr="003A6A0A" w:rsidRDefault="003A6A0A" w:rsidP="003A6A0A">
            <w:pPr>
              <w:pStyle w:val="NoSpacing"/>
              <w:jc w:val="center"/>
              <w:rPr>
                <w:rFonts w:asciiTheme="minorHAnsi" w:hAnsiTheme="minorHAnsi"/>
              </w:rPr>
            </w:pPr>
            <w:r>
              <w:rPr>
                <w:rFonts w:asciiTheme="minorHAnsi" w:hAnsiTheme="minorHAnsi"/>
              </w:rPr>
              <w:t>19</w:t>
            </w:r>
          </w:p>
        </w:tc>
        <w:tc>
          <w:tcPr>
            <w:tcW w:w="16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EC428B1" w14:textId="050ED7EB" w:rsidR="003A6A0A" w:rsidRPr="003A6A0A" w:rsidRDefault="005701F5" w:rsidP="003A6A0A">
            <w:pPr>
              <w:pStyle w:val="NoSpacing"/>
              <w:jc w:val="center"/>
              <w:rPr>
                <w:rFonts w:asciiTheme="minorHAnsi" w:hAnsiTheme="minorHAnsi"/>
              </w:rPr>
            </w:pPr>
            <w:r>
              <w:rPr>
                <w:rFonts w:asciiTheme="minorHAnsi" w:hAnsiTheme="minorHAnsi"/>
              </w:rPr>
              <w:t>2.2</w:t>
            </w:r>
            <w:r w:rsidR="00485C7E">
              <w:rPr>
                <w:rFonts w:asciiTheme="minorHAnsi" w:hAnsiTheme="minorHAnsi"/>
              </w:rPr>
              <w:t>0</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14:paraId="6659CC90" w14:textId="6F01AD97" w:rsidR="003A6A0A" w:rsidRPr="003A6A0A" w:rsidRDefault="002F4B2F" w:rsidP="003A6A0A">
            <w:pPr>
              <w:pStyle w:val="NoSpacing"/>
              <w:jc w:val="center"/>
              <w:rPr>
                <w:rFonts w:asciiTheme="minorHAnsi" w:hAnsiTheme="minorHAnsi"/>
              </w:rPr>
            </w:pPr>
            <w:r>
              <w:rPr>
                <w:rFonts w:asciiTheme="minorHAnsi" w:hAnsiTheme="minorHAnsi"/>
              </w:rPr>
              <w:t>2.</w:t>
            </w:r>
            <w:r w:rsidR="00485C7E">
              <w:rPr>
                <w:rFonts w:asciiTheme="minorHAnsi" w:hAnsiTheme="minorHAnsi"/>
              </w:rPr>
              <w:t>41</w:t>
            </w:r>
          </w:p>
        </w:tc>
      </w:tr>
      <w:bookmarkEnd w:id="11"/>
    </w:tbl>
    <w:p w14:paraId="32AB0192" w14:textId="77777777" w:rsidR="005A5603" w:rsidRDefault="005A5603">
      <w:pPr>
        <w:spacing w:after="160" w:line="259" w:lineRule="auto"/>
      </w:pPr>
      <w:r>
        <w:br w:type="page"/>
      </w:r>
    </w:p>
    <w:p w14:paraId="4A119A89" w14:textId="6E5A7D46" w:rsidR="005A5603" w:rsidRDefault="005A5603" w:rsidP="005A5603">
      <w:pPr>
        <w:rPr>
          <w:b/>
          <w:sz w:val="24"/>
          <w:szCs w:val="24"/>
        </w:rPr>
      </w:pPr>
      <w:r w:rsidRPr="000A695A">
        <w:rPr>
          <w:b/>
          <w:sz w:val="24"/>
          <w:szCs w:val="24"/>
        </w:rPr>
        <w:t xml:space="preserve">Appendix </w:t>
      </w:r>
      <w:r>
        <w:rPr>
          <w:b/>
          <w:sz w:val="24"/>
          <w:szCs w:val="24"/>
        </w:rPr>
        <w:t>F</w:t>
      </w:r>
      <w:r w:rsidRPr="000A695A">
        <w:rPr>
          <w:b/>
          <w:sz w:val="24"/>
          <w:szCs w:val="24"/>
        </w:rPr>
        <w:t xml:space="preserve"> – </w:t>
      </w:r>
      <w:r>
        <w:rPr>
          <w:b/>
          <w:sz w:val="24"/>
          <w:szCs w:val="24"/>
        </w:rPr>
        <w:t>TCMs Implemented in the Atlanta SIP</w:t>
      </w:r>
    </w:p>
    <w:tbl>
      <w:tblPr>
        <w:tblW w:w="9355" w:type="dxa"/>
        <w:tblLook w:val="04A0" w:firstRow="1" w:lastRow="0" w:firstColumn="1" w:lastColumn="0" w:noHBand="0" w:noVBand="1"/>
      </w:tblPr>
      <w:tblGrid>
        <w:gridCol w:w="5035"/>
        <w:gridCol w:w="1260"/>
        <w:gridCol w:w="990"/>
        <w:gridCol w:w="720"/>
        <w:gridCol w:w="1350"/>
      </w:tblGrid>
      <w:tr w:rsidR="005D1C51" w:rsidRPr="005D1C51" w14:paraId="7212254D" w14:textId="77777777" w:rsidTr="00AC2474">
        <w:trPr>
          <w:trHeight w:val="288"/>
        </w:trPr>
        <w:tc>
          <w:tcPr>
            <w:tcW w:w="5035" w:type="dxa"/>
            <w:tcBorders>
              <w:top w:val="single" w:sz="4" w:space="0" w:color="auto"/>
              <w:left w:val="single" w:sz="4" w:space="0" w:color="auto"/>
              <w:bottom w:val="single" w:sz="4" w:space="0" w:color="auto"/>
              <w:right w:val="single" w:sz="4" w:space="0" w:color="auto"/>
            </w:tcBorders>
            <w:shd w:val="clear" w:color="000000" w:fill="E0E0E0"/>
            <w:hideMark/>
          </w:tcPr>
          <w:p w14:paraId="33ADC21C" w14:textId="4A5A9F00" w:rsidR="005D1C51" w:rsidRPr="00AC2474" w:rsidRDefault="005D1C51" w:rsidP="005D1C51">
            <w:pPr>
              <w:spacing w:after="0" w:line="240" w:lineRule="auto"/>
              <w:rPr>
                <w:rFonts w:ascii="Calibri" w:eastAsia="Times New Roman" w:hAnsi="Calibri" w:cs="Calibri"/>
                <w:b/>
                <w:bCs/>
                <w:color w:val="000000"/>
                <w:sz w:val="18"/>
                <w:szCs w:val="18"/>
              </w:rPr>
            </w:pPr>
            <w:r w:rsidRPr="00AC2474">
              <w:rPr>
                <w:rFonts w:cstheme="minorHAnsi"/>
                <w:b/>
                <w:sz w:val="18"/>
                <w:szCs w:val="18"/>
              </w:rPr>
              <w:t>Description</w:t>
            </w:r>
          </w:p>
        </w:tc>
        <w:tc>
          <w:tcPr>
            <w:tcW w:w="1260" w:type="dxa"/>
            <w:tcBorders>
              <w:top w:val="single" w:sz="4" w:space="0" w:color="auto"/>
              <w:left w:val="nil"/>
              <w:bottom w:val="single" w:sz="4" w:space="0" w:color="auto"/>
              <w:right w:val="single" w:sz="4" w:space="0" w:color="auto"/>
            </w:tcBorders>
            <w:shd w:val="clear" w:color="000000" w:fill="E0E0E0"/>
            <w:hideMark/>
          </w:tcPr>
          <w:p w14:paraId="2BFC89AF" w14:textId="42160494" w:rsidR="005D1C51" w:rsidRPr="00AC2474" w:rsidRDefault="005D1C51" w:rsidP="00AC2474">
            <w:pPr>
              <w:spacing w:after="0" w:line="240" w:lineRule="auto"/>
              <w:rPr>
                <w:rFonts w:ascii="Calibri" w:eastAsia="Times New Roman" w:hAnsi="Calibri" w:cs="Calibri"/>
                <w:b/>
                <w:bCs/>
                <w:color w:val="000000"/>
                <w:sz w:val="18"/>
                <w:szCs w:val="18"/>
              </w:rPr>
            </w:pPr>
            <w:r w:rsidRPr="00AC2474">
              <w:rPr>
                <w:rFonts w:cstheme="minorHAnsi"/>
                <w:b/>
                <w:sz w:val="18"/>
                <w:szCs w:val="18"/>
              </w:rPr>
              <w:t>ARC Project #</w:t>
            </w:r>
          </w:p>
        </w:tc>
        <w:tc>
          <w:tcPr>
            <w:tcW w:w="990" w:type="dxa"/>
            <w:tcBorders>
              <w:top w:val="single" w:sz="4" w:space="0" w:color="auto"/>
              <w:left w:val="nil"/>
              <w:bottom w:val="single" w:sz="4" w:space="0" w:color="auto"/>
              <w:right w:val="single" w:sz="4" w:space="0" w:color="auto"/>
            </w:tcBorders>
            <w:shd w:val="clear" w:color="000000" w:fill="E0E0E0"/>
            <w:hideMark/>
          </w:tcPr>
          <w:p w14:paraId="123ACC6E" w14:textId="486CEEC4" w:rsidR="005D1C51" w:rsidRPr="00AC2474" w:rsidRDefault="005D1C51" w:rsidP="00AC2474">
            <w:pPr>
              <w:spacing w:after="0" w:line="240" w:lineRule="auto"/>
              <w:rPr>
                <w:rFonts w:ascii="Calibri" w:eastAsia="Times New Roman" w:hAnsi="Calibri" w:cs="Calibri"/>
                <w:b/>
                <w:bCs/>
                <w:color w:val="000000"/>
                <w:sz w:val="18"/>
                <w:szCs w:val="18"/>
              </w:rPr>
            </w:pPr>
            <w:r w:rsidRPr="00AC2474">
              <w:rPr>
                <w:rFonts w:cstheme="minorHAnsi"/>
                <w:b/>
                <w:sz w:val="18"/>
                <w:szCs w:val="18"/>
              </w:rPr>
              <w:t>GDOT PI #</w:t>
            </w:r>
          </w:p>
        </w:tc>
        <w:tc>
          <w:tcPr>
            <w:tcW w:w="720" w:type="dxa"/>
            <w:tcBorders>
              <w:top w:val="single" w:sz="4" w:space="0" w:color="auto"/>
              <w:left w:val="nil"/>
              <w:bottom w:val="single" w:sz="4" w:space="0" w:color="auto"/>
              <w:right w:val="single" w:sz="4" w:space="0" w:color="auto"/>
            </w:tcBorders>
            <w:shd w:val="clear" w:color="000000" w:fill="E0E0E0"/>
            <w:hideMark/>
          </w:tcPr>
          <w:p w14:paraId="74C140DE" w14:textId="1B87CE9B" w:rsidR="005D1C51" w:rsidRPr="00AC2474" w:rsidRDefault="005D1C51" w:rsidP="00AC2474">
            <w:pPr>
              <w:spacing w:after="0" w:line="240" w:lineRule="auto"/>
              <w:rPr>
                <w:rFonts w:ascii="Calibri" w:eastAsia="Times New Roman" w:hAnsi="Calibri" w:cs="Calibri"/>
                <w:b/>
                <w:bCs/>
                <w:color w:val="000000"/>
                <w:sz w:val="18"/>
                <w:szCs w:val="18"/>
              </w:rPr>
            </w:pPr>
            <w:r w:rsidRPr="00AC2474">
              <w:rPr>
                <w:rFonts w:cstheme="minorHAnsi"/>
                <w:b/>
                <w:sz w:val="18"/>
                <w:szCs w:val="18"/>
              </w:rPr>
              <w:t>TIP</w:t>
            </w:r>
          </w:p>
        </w:tc>
        <w:tc>
          <w:tcPr>
            <w:tcW w:w="1350" w:type="dxa"/>
            <w:tcBorders>
              <w:top w:val="single" w:sz="4" w:space="0" w:color="auto"/>
              <w:left w:val="nil"/>
              <w:bottom w:val="single" w:sz="4" w:space="0" w:color="auto"/>
              <w:right w:val="single" w:sz="4" w:space="0" w:color="auto"/>
            </w:tcBorders>
            <w:shd w:val="clear" w:color="000000" w:fill="E0E0E0"/>
            <w:hideMark/>
          </w:tcPr>
          <w:p w14:paraId="34E28B98" w14:textId="63023AD0" w:rsidR="005D1C51" w:rsidRPr="00AC2474" w:rsidRDefault="005D1C51" w:rsidP="00AC2474">
            <w:pPr>
              <w:spacing w:after="0" w:line="240" w:lineRule="auto"/>
              <w:rPr>
                <w:rFonts w:ascii="Calibri" w:eastAsia="Times New Roman" w:hAnsi="Calibri" w:cs="Calibri"/>
                <w:b/>
                <w:bCs/>
                <w:color w:val="000000"/>
                <w:sz w:val="18"/>
                <w:szCs w:val="18"/>
              </w:rPr>
            </w:pPr>
            <w:r w:rsidRPr="00AC2474">
              <w:rPr>
                <w:rFonts w:cstheme="minorHAnsi"/>
                <w:b/>
                <w:sz w:val="18"/>
                <w:szCs w:val="18"/>
              </w:rPr>
              <w:t>Status</w:t>
            </w:r>
          </w:p>
        </w:tc>
      </w:tr>
      <w:tr w:rsidR="005D1C51" w:rsidRPr="005D1C51" w14:paraId="4D1BE486" w14:textId="77777777" w:rsidTr="00AC2474">
        <w:trPr>
          <w:trHeight w:val="288"/>
        </w:trPr>
        <w:tc>
          <w:tcPr>
            <w:tcW w:w="5035" w:type="dxa"/>
            <w:tcBorders>
              <w:top w:val="nil"/>
              <w:left w:val="single" w:sz="4" w:space="0" w:color="auto"/>
              <w:bottom w:val="nil"/>
              <w:right w:val="single" w:sz="4" w:space="0" w:color="auto"/>
            </w:tcBorders>
            <w:shd w:val="clear" w:color="auto" w:fill="auto"/>
            <w:vAlign w:val="center"/>
            <w:hideMark/>
          </w:tcPr>
          <w:p w14:paraId="3D2DE812"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INTERSECTION UPGRADE, COORDINATION &amp; COMPUTERIZATION</w:t>
            </w:r>
          </w:p>
        </w:tc>
        <w:tc>
          <w:tcPr>
            <w:tcW w:w="1260" w:type="dxa"/>
            <w:tcBorders>
              <w:top w:val="nil"/>
              <w:left w:val="nil"/>
              <w:bottom w:val="single" w:sz="4" w:space="0" w:color="auto"/>
              <w:right w:val="single" w:sz="4" w:space="0" w:color="auto"/>
            </w:tcBorders>
            <w:shd w:val="clear" w:color="auto" w:fill="auto"/>
            <w:vAlign w:val="center"/>
            <w:hideMark/>
          </w:tcPr>
          <w:p w14:paraId="252CC000"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AT 089</w:t>
            </w:r>
          </w:p>
        </w:tc>
        <w:tc>
          <w:tcPr>
            <w:tcW w:w="990" w:type="dxa"/>
            <w:tcBorders>
              <w:top w:val="nil"/>
              <w:left w:val="nil"/>
              <w:bottom w:val="single" w:sz="4" w:space="0" w:color="auto"/>
              <w:right w:val="single" w:sz="4" w:space="0" w:color="auto"/>
            </w:tcBorders>
            <w:shd w:val="clear" w:color="auto" w:fill="auto"/>
            <w:vAlign w:val="center"/>
            <w:hideMark/>
          </w:tcPr>
          <w:p w14:paraId="40CE8216"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04Y108</w:t>
            </w:r>
          </w:p>
        </w:tc>
        <w:tc>
          <w:tcPr>
            <w:tcW w:w="720" w:type="dxa"/>
            <w:tcBorders>
              <w:top w:val="nil"/>
              <w:left w:val="nil"/>
              <w:bottom w:val="single" w:sz="4" w:space="0" w:color="auto"/>
              <w:right w:val="single" w:sz="4" w:space="0" w:color="auto"/>
            </w:tcBorders>
            <w:shd w:val="clear" w:color="auto" w:fill="auto"/>
            <w:vAlign w:val="center"/>
            <w:hideMark/>
          </w:tcPr>
          <w:p w14:paraId="4D6167C6"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93-95</w:t>
            </w:r>
          </w:p>
        </w:tc>
        <w:tc>
          <w:tcPr>
            <w:tcW w:w="1350" w:type="dxa"/>
            <w:tcBorders>
              <w:top w:val="nil"/>
              <w:left w:val="nil"/>
              <w:bottom w:val="single" w:sz="4" w:space="0" w:color="auto"/>
              <w:right w:val="single" w:sz="4" w:space="0" w:color="auto"/>
            </w:tcBorders>
            <w:shd w:val="clear" w:color="auto" w:fill="auto"/>
            <w:vAlign w:val="center"/>
            <w:hideMark/>
          </w:tcPr>
          <w:p w14:paraId="2CD6F258"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Implemented</w:t>
            </w:r>
          </w:p>
        </w:tc>
      </w:tr>
      <w:tr w:rsidR="005D1C51" w:rsidRPr="005D1C51" w14:paraId="73A7E7F3" w14:textId="77777777" w:rsidTr="00AC2474">
        <w:trPr>
          <w:cantSplit/>
          <w:trHeight w:val="288"/>
        </w:trPr>
        <w:tc>
          <w:tcPr>
            <w:tcW w:w="5035" w:type="dxa"/>
            <w:tcBorders>
              <w:top w:val="nil"/>
              <w:left w:val="single" w:sz="4" w:space="0" w:color="auto"/>
              <w:bottom w:val="nil"/>
              <w:right w:val="single" w:sz="4" w:space="0" w:color="auto"/>
            </w:tcBorders>
            <w:shd w:val="clear" w:color="auto" w:fill="auto"/>
            <w:vAlign w:val="center"/>
            <w:hideMark/>
          </w:tcPr>
          <w:p w14:paraId="421AB841"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Sponsor(s) – GDOT in partnership with local Jurisdictions</w:t>
            </w:r>
          </w:p>
        </w:tc>
        <w:tc>
          <w:tcPr>
            <w:tcW w:w="1260" w:type="dxa"/>
            <w:tcBorders>
              <w:top w:val="nil"/>
              <w:left w:val="nil"/>
              <w:bottom w:val="single" w:sz="4" w:space="0" w:color="auto"/>
              <w:right w:val="single" w:sz="4" w:space="0" w:color="auto"/>
            </w:tcBorders>
            <w:shd w:val="clear" w:color="auto" w:fill="auto"/>
            <w:vAlign w:val="center"/>
            <w:hideMark/>
          </w:tcPr>
          <w:p w14:paraId="161B6BB5"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CL 094</w:t>
            </w:r>
          </w:p>
        </w:tc>
        <w:tc>
          <w:tcPr>
            <w:tcW w:w="990" w:type="dxa"/>
            <w:tcBorders>
              <w:top w:val="nil"/>
              <w:left w:val="nil"/>
              <w:bottom w:val="single" w:sz="4" w:space="0" w:color="auto"/>
              <w:right w:val="single" w:sz="4" w:space="0" w:color="auto"/>
            </w:tcBorders>
            <w:shd w:val="clear" w:color="auto" w:fill="auto"/>
            <w:vAlign w:val="center"/>
            <w:hideMark/>
          </w:tcPr>
          <w:p w14:paraId="34FFCD48" w14:textId="75CD7570"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770600</w:t>
            </w:r>
          </w:p>
        </w:tc>
        <w:tc>
          <w:tcPr>
            <w:tcW w:w="720" w:type="dxa"/>
            <w:tcBorders>
              <w:top w:val="nil"/>
              <w:left w:val="nil"/>
              <w:bottom w:val="single" w:sz="4" w:space="0" w:color="auto"/>
              <w:right w:val="single" w:sz="4" w:space="0" w:color="auto"/>
            </w:tcBorders>
            <w:shd w:val="clear" w:color="auto" w:fill="auto"/>
            <w:vAlign w:val="center"/>
            <w:hideMark/>
          </w:tcPr>
          <w:p w14:paraId="5473046B"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94-96</w:t>
            </w:r>
          </w:p>
        </w:tc>
        <w:tc>
          <w:tcPr>
            <w:tcW w:w="1350" w:type="dxa"/>
            <w:tcBorders>
              <w:top w:val="nil"/>
              <w:left w:val="nil"/>
              <w:bottom w:val="single" w:sz="4" w:space="0" w:color="auto"/>
              <w:right w:val="single" w:sz="4" w:space="0" w:color="auto"/>
            </w:tcBorders>
            <w:shd w:val="clear" w:color="auto" w:fill="auto"/>
            <w:vAlign w:val="center"/>
            <w:hideMark/>
          </w:tcPr>
          <w:p w14:paraId="5B7D5EBA"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Implemented</w:t>
            </w:r>
          </w:p>
        </w:tc>
      </w:tr>
      <w:tr w:rsidR="005D1C51" w:rsidRPr="005D1C51" w14:paraId="46148EE4" w14:textId="77777777" w:rsidTr="00AC2474">
        <w:trPr>
          <w:trHeight w:val="288"/>
        </w:trPr>
        <w:tc>
          <w:tcPr>
            <w:tcW w:w="5035" w:type="dxa"/>
            <w:tcBorders>
              <w:top w:val="nil"/>
              <w:left w:val="single" w:sz="4" w:space="0" w:color="auto"/>
              <w:bottom w:val="nil"/>
              <w:right w:val="single" w:sz="4" w:space="0" w:color="auto"/>
            </w:tcBorders>
            <w:shd w:val="clear" w:color="auto" w:fill="auto"/>
            <w:hideMark/>
          </w:tcPr>
          <w:p w14:paraId="0B7A4214"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vAlign w:val="center"/>
            <w:hideMark/>
          </w:tcPr>
          <w:p w14:paraId="6C45A2D9"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CO 249</w:t>
            </w:r>
          </w:p>
        </w:tc>
        <w:tc>
          <w:tcPr>
            <w:tcW w:w="990" w:type="dxa"/>
            <w:tcBorders>
              <w:top w:val="nil"/>
              <w:left w:val="nil"/>
              <w:bottom w:val="single" w:sz="4" w:space="0" w:color="auto"/>
              <w:right w:val="single" w:sz="4" w:space="0" w:color="auto"/>
            </w:tcBorders>
            <w:shd w:val="clear" w:color="auto" w:fill="auto"/>
            <w:vAlign w:val="center"/>
            <w:hideMark/>
          </w:tcPr>
          <w:p w14:paraId="468557C4" w14:textId="661F4EFC"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770601</w:t>
            </w:r>
          </w:p>
        </w:tc>
        <w:tc>
          <w:tcPr>
            <w:tcW w:w="720" w:type="dxa"/>
            <w:tcBorders>
              <w:top w:val="nil"/>
              <w:left w:val="nil"/>
              <w:bottom w:val="single" w:sz="4" w:space="0" w:color="auto"/>
              <w:right w:val="single" w:sz="4" w:space="0" w:color="auto"/>
            </w:tcBorders>
            <w:shd w:val="clear" w:color="auto" w:fill="auto"/>
            <w:vAlign w:val="center"/>
            <w:hideMark/>
          </w:tcPr>
          <w:p w14:paraId="0484DAA4"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94-96</w:t>
            </w:r>
          </w:p>
        </w:tc>
        <w:tc>
          <w:tcPr>
            <w:tcW w:w="1350" w:type="dxa"/>
            <w:tcBorders>
              <w:top w:val="nil"/>
              <w:left w:val="nil"/>
              <w:bottom w:val="single" w:sz="4" w:space="0" w:color="auto"/>
              <w:right w:val="single" w:sz="4" w:space="0" w:color="auto"/>
            </w:tcBorders>
            <w:shd w:val="clear" w:color="auto" w:fill="auto"/>
            <w:vAlign w:val="center"/>
            <w:hideMark/>
          </w:tcPr>
          <w:p w14:paraId="77C47049"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Implemented</w:t>
            </w:r>
          </w:p>
        </w:tc>
      </w:tr>
      <w:tr w:rsidR="005D1C51" w:rsidRPr="005D1C51" w14:paraId="0DA5A876" w14:textId="77777777" w:rsidTr="00AC2474">
        <w:trPr>
          <w:trHeight w:val="288"/>
        </w:trPr>
        <w:tc>
          <w:tcPr>
            <w:tcW w:w="5035" w:type="dxa"/>
            <w:tcBorders>
              <w:top w:val="nil"/>
              <w:left w:val="single" w:sz="4" w:space="0" w:color="auto"/>
              <w:bottom w:val="nil"/>
              <w:right w:val="single" w:sz="4" w:space="0" w:color="auto"/>
            </w:tcBorders>
            <w:shd w:val="clear" w:color="auto" w:fill="auto"/>
            <w:hideMark/>
          </w:tcPr>
          <w:p w14:paraId="1DBA89BC"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vAlign w:val="center"/>
            <w:hideMark/>
          </w:tcPr>
          <w:p w14:paraId="1842C106"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DK 118</w:t>
            </w:r>
          </w:p>
        </w:tc>
        <w:tc>
          <w:tcPr>
            <w:tcW w:w="990" w:type="dxa"/>
            <w:tcBorders>
              <w:top w:val="nil"/>
              <w:left w:val="nil"/>
              <w:bottom w:val="single" w:sz="4" w:space="0" w:color="auto"/>
              <w:right w:val="single" w:sz="4" w:space="0" w:color="auto"/>
            </w:tcBorders>
            <w:shd w:val="clear" w:color="auto" w:fill="auto"/>
            <w:vAlign w:val="center"/>
            <w:hideMark/>
          </w:tcPr>
          <w:p w14:paraId="53F3C0D8" w14:textId="5A25F8C8"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770603</w:t>
            </w:r>
          </w:p>
        </w:tc>
        <w:tc>
          <w:tcPr>
            <w:tcW w:w="720" w:type="dxa"/>
            <w:tcBorders>
              <w:top w:val="nil"/>
              <w:left w:val="nil"/>
              <w:bottom w:val="single" w:sz="4" w:space="0" w:color="auto"/>
              <w:right w:val="single" w:sz="4" w:space="0" w:color="auto"/>
            </w:tcBorders>
            <w:shd w:val="clear" w:color="auto" w:fill="auto"/>
            <w:vAlign w:val="center"/>
            <w:hideMark/>
          </w:tcPr>
          <w:p w14:paraId="493A0B1D"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94-96</w:t>
            </w:r>
          </w:p>
        </w:tc>
        <w:tc>
          <w:tcPr>
            <w:tcW w:w="1350" w:type="dxa"/>
            <w:tcBorders>
              <w:top w:val="nil"/>
              <w:left w:val="nil"/>
              <w:bottom w:val="single" w:sz="4" w:space="0" w:color="auto"/>
              <w:right w:val="single" w:sz="4" w:space="0" w:color="auto"/>
            </w:tcBorders>
            <w:shd w:val="clear" w:color="auto" w:fill="auto"/>
            <w:vAlign w:val="center"/>
            <w:hideMark/>
          </w:tcPr>
          <w:p w14:paraId="52C93FE9"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Implemented</w:t>
            </w:r>
          </w:p>
        </w:tc>
      </w:tr>
      <w:tr w:rsidR="005D1C51" w:rsidRPr="005D1C51" w14:paraId="2C8EE55D" w14:textId="77777777" w:rsidTr="00AC2474">
        <w:trPr>
          <w:trHeight w:val="288"/>
        </w:trPr>
        <w:tc>
          <w:tcPr>
            <w:tcW w:w="5035" w:type="dxa"/>
            <w:tcBorders>
              <w:top w:val="nil"/>
              <w:left w:val="single" w:sz="4" w:space="0" w:color="auto"/>
              <w:bottom w:val="nil"/>
              <w:right w:val="single" w:sz="4" w:space="0" w:color="auto"/>
            </w:tcBorders>
            <w:shd w:val="clear" w:color="auto" w:fill="auto"/>
            <w:hideMark/>
          </w:tcPr>
          <w:p w14:paraId="273C700A"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vAlign w:val="center"/>
            <w:hideMark/>
          </w:tcPr>
          <w:p w14:paraId="54A2F9D0"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FN 086</w:t>
            </w:r>
          </w:p>
        </w:tc>
        <w:tc>
          <w:tcPr>
            <w:tcW w:w="990" w:type="dxa"/>
            <w:tcBorders>
              <w:top w:val="nil"/>
              <w:left w:val="nil"/>
              <w:bottom w:val="single" w:sz="4" w:space="0" w:color="auto"/>
              <w:right w:val="single" w:sz="4" w:space="0" w:color="auto"/>
            </w:tcBorders>
            <w:shd w:val="clear" w:color="auto" w:fill="auto"/>
            <w:vAlign w:val="center"/>
            <w:hideMark/>
          </w:tcPr>
          <w:p w14:paraId="0B5673A9" w14:textId="7DC5E552"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770605</w:t>
            </w:r>
          </w:p>
        </w:tc>
        <w:tc>
          <w:tcPr>
            <w:tcW w:w="720" w:type="dxa"/>
            <w:tcBorders>
              <w:top w:val="nil"/>
              <w:left w:val="nil"/>
              <w:bottom w:val="single" w:sz="4" w:space="0" w:color="auto"/>
              <w:right w:val="single" w:sz="4" w:space="0" w:color="auto"/>
            </w:tcBorders>
            <w:shd w:val="clear" w:color="auto" w:fill="auto"/>
            <w:vAlign w:val="center"/>
            <w:hideMark/>
          </w:tcPr>
          <w:p w14:paraId="0E9FDEBC"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94-96</w:t>
            </w:r>
          </w:p>
        </w:tc>
        <w:tc>
          <w:tcPr>
            <w:tcW w:w="1350" w:type="dxa"/>
            <w:tcBorders>
              <w:top w:val="nil"/>
              <w:left w:val="nil"/>
              <w:bottom w:val="single" w:sz="4" w:space="0" w:color="auto"/>
              <w:right w:val="single" w:sz="4" w:space="0" w:color="auto"/>
            </w:tcBorders>
            <w:shd w:val="clear" w:color="auto" w:fill="auto"/>
            <w:vAlign w:val="center"/>
            <w:hideMark/>
          </w:tcPr>
          <w:p w14:paraId="26307896"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Implemented</w:t>
            </w:r>
          </w:p>
        </w:tc>
      </w:tr>
      <w:tr w:rsidR="005D1C51" w:rsidRPr="005D1C51" w14:paraId="5B848753" w14:textId="77777777" w:rsidTr="00AC2474">
        <w:trPr>
          <w:trHeight w:val="288"/>
        </w:trPr>
        <w:tc>
          <w:tcPr>
            <w:tcW w:w="5035" w:type="dxa"/>
            <w:tcBorders>
              <w:top w:val="nil"/>
              <w:left w:val="single" w:sz="4" w:space="0" w:color="auto"/>
              <w:bottom w:val="nil"/>
              <w:right w:val="single" w:sz="4" w:space="0" w:color="auto"/>
            </w:tcBorders>
            <w:shd w:val="clear" w:color="auto" w:fill="auto"/>
            <w:hideMark/>
          </w:tcPr>
          <w:p w14:paraId="0101F695"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vAlign w:val="center"/>
            <w:hideMark/>
          </w:tcPr>
          <w:p w14:paraId="435D64C8"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FS 068</w:t>
            </w:r>
          </w:p>
        </w:tc>
        <w:tc>
          <w:tcPr>
            <w:tcW w:w="990" w:type="dxa"/>
            <w:tcBorders>
              <w:top w:val="nil"/>
              <w:left w:val="nil"/>
              <w:bottom w:val="single" w:sz="4" w:space="0" w:color="auto"/>
              <w:right w:val="single" w:sz="4" w:space="0" w:color="auto"/>
            </w:tcBorders>
            <w:shd w:val="clear" w:color="auto" w:fill="auto"/>
            <w:vAlign w:val="center"/>
            <w:hideMark/>
          </w:tcPr>
          <w:p w14:paraId="70F01E67" w14:textId="2BFB84BC"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770605</w:t>
            </w:r>
          </w:p>
        </w:tc>
        <w:tc>
          <w:tcPr>
            <w:tcW w:w="720" w:type="dxa"/>
            <w:tcBorders>
              <w:top w:val="nil"/>
              <w:left w:val="nil"/>
              <w:bottom w:val="single" w:sz="4" w:space="0" w:color="auto"/>
              <w:right w:val="single" w:sz="4" w:space="0" w:color="auto"/>
            </w:tcBorders>
            <w:shd w:val="clear" w:color="auto" w:fill="auto"/>
            <w:vAlign w:val="center"/>
            <w:hideMark/>
          </w:tcPr>
          <w:p w14:paraId="46CB413D"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94-96</w:t>
            </w:r>
          </w:p>
        </w:tc>
        <w:tc>
          <w:tcPr>
            <w:tcW w:w="1350" w:type="dxa"/>
            <w:tcBorders>
              <w:top w:val="nil"/>
              <w:left w:val="nil"/>
              <w:bottom w:val="single" w:sz="4" w:space="0" w:color="auto"/>
              <w:right w:val="single" w:sz="4" w:space="0" w:color="auto"/>
            </w:tcBorders>
            <w:shd w:val="clear" w:color="auto" w:fill="auto"/>
            <w:vAlign w:val="center"/>
            <w:hideMark/>
          </w:tcPr>
          <w:p w14:paraId="7E92A9AE"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Implemented</w:t>
            </w:r>
          </w:p>
        </w:tc>
      </w:tr>
      <w:tr w:rsidR="005D1C51" w:rsidRPr="005D1C51" w14:paraId="0298CF27" w14:textId="77777777" w:rsidTr="00AC2474">
        <w:trPr>
          <w:trHeight w:val="288"/>
        </w:trPr>
        <w:tc>
          <w:tcPr>
            <w:tcW w:w="5035" w:type="dxa"/>
            <w:tcBorders>
              <w:top w:val="nil"/>
              <w:left w:val="single" w:sz="4" w:space="0" w:color="auto"/>
              <w:bottom w:val="nil"/>
              <w:right w:val="single" w:sz="4" w:space="0" w:color="auto"/>
            </w:tcBorders>
            <w:shd w:val="clear" w:color="auto" w:fill="auto"/>
            <w:hideMark/>
          </w:tcPr>
          <w:p w14:paraId="06485299"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vAlign w:val="center"/>
            <w:hideMark/>
          </w:tcPr>
          <w:p w14:paraId="1F956A16"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GW 135</w:t>
            </w:r>
          </w:p>
        </w:tc>
        <w:tc>
          <w:tcPr>
            <w:tcW w:w="990" w:type="dxa"/>
            <w:tcBorders>
              <w:top w:val="nil"/>
              <w:left w:val="nil"/>
              <w:bottom w:val="single" w:sz="4" w:space="0" w:color="auto"/>
              <w:right w:val="single" w:sz="4" w:space="0" w:color="auto"/>
            </w:tcBorders>
            <w:shd w:val="clear" w:color="auto" w:fill="auto"/>
            <w:vAlign w:val="center"/>
            <w:hideMark/>
          </w:tcPr>
          <w:p w14:paraId="421391CD" w14:textId="6B1FE335"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170950</w:t>
            </w:r>
          </w:p>
        </w:tc>
        <w:tc>
          <w:tcPr>
            <w:tcW w:w="720" w:type="dxa"/>
            <w:tcBorders>
              <w:top w:val="nil"/>
              <w:left w:val="nil"/>
              <w:bottom w:val="single" w:sz="4" w:space="0" w:color="auto"/>
              <w:right w:val="single" w:sz="4" w:space="0" w:color="auto"/>
            </w:tcBorders>
            <w:shd w:val="clear" w:color="auto" w:fill="auto"/>
            <w:vAlign w:val="center"/>
            <w:hideMark/>
          </w:tcPr>
          <w:p w14:paraId="03CD4E14"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94-96</w:t>
            </w:r>
          </w:p>
        </w:tc>
        <w:tc>
          <w:tcPr>
            <w:tcW w:w="1350" w:type="dxa"/>
            <w:tcBorders>
              <w:top w:val="nil"/>
              <w:left w:val="nil"/>
              <w:bottom w:val="single" w:sz="4" w:space="0" w:color="auto"/>
              <w:right w:val="single" w:sz="4" w:space="0" w:color="auto"/>
            </w:tcBorders>
            <w:shd w:val="clear" w:color="auto" w:fill="auto"/>
            <w:vAlign w:val="center"/>
            <w:hideMark/>
          </w:tcPr>
          <w:p w14:paraId="7638F841"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Implemented</w:t>
            </w:r>
          </w:p>
        </w:tc>
      </w:tr>
      <w:tr w:rsidR="005D1C51" w:rsidRPr="005D1C51" w14:paraId="77289FF8" w14:textId="77777777" w:rsidTr="00AC2474">
        <w:trPr>
          <w:trHeight w:val="288"/>
        </w:trPr>
        <w:tc>
          <w:tcPr>
            <w:tcW w:w="5035" w:type="dxa"/>
            <w:tcBorders>
              <w:top w:val="nil"/>
              <w:left w:val="single" w:sz="4" w:space="0" w:color="auto"/>
              <w:bottom w:val="nil"/>
              <w:right w:val="single" w:sz="4" w:space="0" w:color="auto"/>
            </w:tcBorders>
            <w:shd w:val="clear" w:color="auto" w:fill="auto"/>
            <w:hideMark/>
          </w:tcPr>
          <w:p w14:paraId="3B4FB042"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vAlign w:val="center"/>
            <w:hideMark/>
          </w:tcPr>
          <w:p w14:paraId="7B29AA71"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R 098</w:t>
            </w:r>
          </w:p>
        </w:tc>
        <w:tc>
          <w:tcPr>
            <w:tcW w:w="990" w:type="dxa"/>
            <w:tcBorders>
              <w:top w:val="nil"/>
              <w:left w:val="nil"/>
              <w:bottom w:val="single" w:sz="4" w:space="0" w:color="auto"/>
              <w:right w:val="single" w:sz="4" w:space="0" w:color="auto"/>
            </w:tcBorders>
            <w:shd w:val="clear" w:color="auto" w:fill="auto"/>
            <w:vAlign w:val="center"/>
            <w:hideMark/>
          </w:tcPr>
          <w:p w14:paraId="087CB96D"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4418</w:t>
            </w:r>
          </w:p>
        </w:tc>
        <w:tc>
          <w:tcPr>
            <w:tcW w:w="720" w:type="dxa"/>
            <w:tcBorders>
              <w:top w:val="nil"/>
              <w:left w:val="nil"/>
              <w:bottom w:val="single" w:sz="4" w:space="0" w:color="auto"/>
              <w:right w:val="single" w:sz="4" w:space="0" w:color="auto"/>
            </w:tcBorders>
            <w:shd w:val="clear" w:color="auto" w:fill="auto"/>
            <w:vAlign w:val="center"/>
            <w:hideMark/>
          </w:tcPr>
          <w:p w14:paraId="33E22E31"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93-95</w:t>
            </w:r>
          </w:p>
        </w:tc>
        <w:tc>
          <w:tcPr>
            <w:tcW w:w="1350" w:type="dxa"/>
            <w:tcBorders>
              <w:top w:val="nil"/>
              <w:left w:val="nil"/>
              <w:bottom w:val="single" w:sz="4" w:space="0" w:color="auto"/>
              <w:right w:val="single" w:sz="4" w:space="0" w:color="auto"/>
            </w:tcBorders>
            <w:shd w:val="clear" w:color="auto" w:fill="auto"/>
            <w:vAlign w:val="center"/>
            <w:hideMark/>
          </w:tcPr>
          <w:p w14:paraId="0712CBFF"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Implemented</w:t>
            </w:r>
          </w:p>
        </w:tc>
      </w:tr>
      <w:tr w:rsidR="005D1C51" w:rsidRPr="005D1C51" w14:paraId="2BACD970" w14:textId="77777777" w:rsidTr="00AC2474">
        <w:trPr>
          <w:trHeight w:val="288"/>
        </w:trPr>
        <w:tc>
          <w:tcPr>
            <w:tcW w:w="5035" w:type="dxa"/>
            <w:tcBorders>
              <w:top w:val="nil"/>
              <w:left w:val="single" w:sz="4" w:space="0" w:color="auto"/>
              <w:bottom w:val="single" w:sz="4" w:space="0" w:color="auto"/>
              <w:right w:val="single" w:sz="4" w:space="0" w:color="auto"/>
            </w:tcBorders>
            <w:shd w:val="clear" w:color="auto" w:fill="auto"/>
            <w:hideMark/>
          </w:tcPr>
          <w:p w14:paraId="6C8DDEFB"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vAlign w:val="center"/>
            <w:hideMark/>
          </w:tcPr>
          <w:p w14:paraId="19B046FC"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R 098</w:t>
            </w:r>
          </w:p>
        </w:tc>
        <w:tc>
          <w:tcPr>
            <w:tcW w:w="990" w:type="dxa"/>
            <w:tcBorders>
              <w:top w:val="nil"/>
              <w:left w:val="nil"/>
              <w:bottom w:val="single" w:sz="4" w:space="0" w:color="auto"/>
              <w:right w:val="single" w:sz="4" w:space="0" w:color="auto"/>
            </w:tcBorders>
            <w:shd w:val="clear" w:color="auto" w:fill="auto"/>
            <w:vAlign w:val="center"/>
            <w:hideMark/>
          </w:tcPr>
          <w:p w14:paraId="1A9FF882" w14:textId="415C49F6"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770391</w:t>
            </w:r>
          </w:p>
        </w:tc>
        <w:tc>
          <w:tcPr>
            <w:tcW w:w="720" w:type="dxa"/>
            <w:tcBorders>
              <w:top w:val="nil"/>
              <w:left w:val="nil"/>
              <w:bottom w:val="single" w:sz="4" w:space="0" w:color="auto"/>
              <w:right w:val="single" w:sz="4" w:space="0" w:color="auto"/>
            </w:tcBorders>
            <w:shd w:val="clear" w:color="auto" w:fill="auto"/>
            <w:vAlign w:val="center"/>
            <w:hideMark/>
          </w:tcPr>
          <w:p w14:paraId="060D473B"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94-96</w:t>
            </w:r>
          </w:p>
        </w:tc>
        <w:tc>
          <w:tcPr>
            <w:tcW w:w="1350" w:type="dxa"/>
            <w:tcBorders>
              <w:top w:val="nil"/>
              <w:left w:val="nil"/>
              <w:bottom w:val="single" w:sz="4" w:space="0" w:color="auto"/>
              <w:right w:val="single" w:sz="4" w:space="0" w:color="auto"/>
            </w:tcBorders>
            <w:shd w:val="clear" w:color="auto" w:fill="auto"/>
            <w:vAlign w:val="center"/>
            <w:hideMark/>
          </w:tcPr>
          <w:p w14:paraId="46725828" w14:textId="77777777" w:rsidR="005D1C51" w:rsidRPr="00AC2474" w:rsidRDefault="005D1C51" w:rsidP="005D1C51">
            <w:pPr>
              <w:spacing w:after="0" w:line="240" w:lineRule="auto"/>
              <w:rPr>
                <w:rFonts w:ascii="Calibri" w:eastAsia="Times New Roman" w:hAnsi="Calibri" w:cs="Calibri"/>
                <w:color w:val="000000"/>
                <w:sz w:val="18"/>
                <w:szCs w:val="18"/>
              </w:rPr>
            </w:pPr>
            <w:r w:rsidRPr="00AC2474">
              <w:rPr>
                <w:rFonts w:ascii="Calibri" w:eastAsia="Times New Roman" w:hAnsi="Calibri" w:cs="Calibri"/>
                <w:color w:val="000000"/>
                <w:sz w:val="18"/>
                <w:szCs w:val="18"/>
              </w:rPr>
              <w:t>Implemented</w:t>
            </w:r>
          </w:p>
        </w:tc>
      </w:tr>
    </w:tbl>
    <w:p w14:paraId="42CEDA37" w14:textId="77777777" w:rsidR="00F02A51" w:rsidRDefault="00F02A51"/>
    <w:sectPr w:rsidR="00F02A51">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58F76" w14:textId="77777777" w:rsidR="00473BD6" w:rsidRDefault="00473BD6" w:rsidP="002F50E5">
      <w:pPr>
        <w:spacing w:after="0" w:line="240" w:lineRule="auto"/>
      </w:pPr>
      <w:r>
        <w:separator/>
      </w:r>
    </w:p>
  </w:endnote>
  <w:endnote w:type="continuationSeparator" w:id="0">
    <w:p w14:paraId="53964872" w14:textId="77777777" w:rsidR="00473BD6" w:rsidRDefault="00473BD6" w:rsidP="002F5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8438379"/>
      <w:docPartObj>
        <w:docPartGallery w:val="Page Numbers (Bottom of Page)"/>
        <w:docPartUnique/>
      </w:docPartObj>
    </w:sdtPr>
    <w:sdtEndPr>
      <w:rPr>
        <w:noProof/>
      </w:rPr>
    </w:sdtEndPr>
    <w:sdtContent>
      <w:p w14:paraId="3ECA3E38" w14:textId="77777777" w:rsidR="00A703D7" w:rsidRDefault="00A703D7">
        <w:pPr>
          <w:pStyle w:val="Footer"/>
          <w:jc w:val="right"/>
        </w:pPr>
        <w:r>
          <w:fldChar w:fldCharType="begin"/>
        </w:r>
        <w:r>
          <w:instrText xml:space="preserve"> PAGE   \* MERGEFORMAT </w:instrText>
        </w:r>
        <w:r>
          <w:fldChar w:fldCharType="separate"/>
        </w:r>
        <w:r>
          <w:rPr>
            <w:noProof/>
          </w:rPr>
          <w:t>17</w:t>
        </w:r>
        <w:r>
          <w:rPr>
            <w:noProof/>
          </w:rPr>
          <w:fldChar w:fldCharType="end"/>
        </w:r>
      </w:p>
    </w:sdtContent>
  </w:sdt>
  <w:p w14:paraId="6FC1C754" w14:textId="77777777" w:rsidR="00A703D7" w:rsidRDefault="00A703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FFFA8" w14:textId="77777777" w:rsidR="00473BD6" w:rsidRDefault="00473BD6" w:rsidP="002F50E5">
      <w:pPr>
        <w:spacing w:after="0" w:line="240" w:lineRule="auto"/>
      </w:pPr>
      <w:r>
        <w:separator/>
      </w:r>
    </w:p>
  </w:footnote>
  <w:footnote w:type="continuationSeparator" w:id="0">
    <w:p w14:paraId="6383EF64" w14:textId="77777777" w:rsidR="00473BD6" w:rsidRDefault="00473BD6" w:rsidP="002F50E5">
      <w:pPr>
        <w:spacing w:after="0" w:line="240" w:lineRule="auto"/>
      </w:pPr>
      <w:r>
        <w:continuationSeparator/>
      </w:r>
    </w:p>
  </w:footnote>
  <w:footnote w:id="1">
    <w:p w14:paraId="54DB49DC" w14:textId="180C60C8" w:rsidR="00BF17E7" w:rsidRPr="00721F4C" w:rsidRDefault="00BF17E7" w:rsidP="00BF17E7">
      <w:pPr>
        <w:pStyle w:val="FootnoteText"/>
        <w:rPr>
          <w:rFonts w:asciiTheme="minorHAnsi" w:hAnsiTheme="minorHAnsi"/>
          <w:highlight w:val="yellow"/>
        </w:rPr>
      </w:pPr>
      <w:r w:rsidRPr="003D5D03">
        <w:rPr>
          <w:rStyle w:val="FootnoteReference"/>
          <w:rFonts w:asciiTheme="minorHAnsi" w:hAnsiTheme="minorHAnsi"/>
        </w:rPr>
        <w:footnoteRef/>
      </w:r>
      <w:r w:rsidRPr="003D5D03">
        <w:rPr>
          <w:rFonts w:asciiTheme="minorHAnsi" w:hAnsiTheme="minorHAnsi"/>
        </w:rPr>
        <w:t xml:space="preserve"> </w:t>
      </w:r>
      <w:r w:rsidR="00C564AB" w:rsidRPr="008660EB">
        <w:rPr>
          <w:rFonts w:asciiTheme="minorHAnsi" w:hAnsiTheme="minorHAnsi"/>
          <w:i/>
        </w:rPr>
        <w:t>Procedures for Emission Inventory Preparation, Volume IV: Mobile Sources</w:t>
      </w:r>
      <w:r w:rsidR="00C564AB" w:rsidRPr="008660EB">
        <w:rPr>
          <w:rFonts w:asciiTheme="minorHAnsi" w:hAnsiTheme="minorHAnsi"/>
        </w:rPr>
        <w:t>, Section 3.4.2.6, EPA420-R-92-009, USEPA Office of Air and Radiation, Office of Mobile Sources, 1992.</w:t>
      </w:r>
    </w:p>
  </w:footnote>
  <w:footnote w:id="2">
    <w:p w14:paraId="7BAD6871" w14:textId="55FEE4F5" w:rsidR="00BF17E7" w:rsidRPr="00303F94" w:rsidRDefault="00BF17E7" w:rsidP="00BF17E7">
      <w:pPr>
        <w:pStyle w:val="FootnoteText"/>
        <w:rPr>
          <w:rFonts w:asciiTheme="minorHAnsi" w:hAnsiTheme="minorHAnsi"/>
        </w:rPr>
      </w:pPr>
      <w:r w:rsidRPr="008660EB">
        <w:rPr>
          <w:rStyle w:val="FootnoteReference"/>
          <w:rFonts w:asciiTheme="minorHAnsi" w:hAnsiTheme="minorHAnsi"/>
        </w:rPr>
        <w:footnoteRef/>
      </w:r>
      <w:r w:rsidRPr="008660EB">
        <w:rPr>
          <w:rFonts w:asciiTheme="minorHAnsi" w:hAnsiTheme="minorHAnsi"/>
        </w:rPr>
        <w:t xml:space="preserve"> For the </w:t>
      </w:r>
      <w:r>
        <w:rPr>
          <w:rFonts w:asciiTheme="minorHAnsi" w:hAnsiTheme="minorHAnsi"/>
        </w:rPr>
        <w:t>20</w:t>
      </w:r>
      <w:r w:rsidR="006F742D">
        <w:rPr>
          <w:rFonts w:asciiTheme="minorHAnsi" w:hAnsiTheme="minorHAnsi"/>
        </w:rPr>
        <w:t>15</w:t>
      </w:r>
      <w:r>
        <w:rPr>
          <w:rFonts w:asciiTheme="minorHAnsi" w:hAnsiTheme="minorHAnsi"/>
        </w:rPr>
        <w:t xml:space="preserve"> </w:t>
      </w:r>
      <w:r w:rsidRPr="008660EB">
        <w:rPr>
          <w:rFonts w:asciiTheme="minorHAnsi" w:hAnsiTheme="minorHAnsi"/>
        </w:rPr>
        <w:t xml:space="preserve">eight-hour ozone </w:t>
      </w:r>
      <w:r>
        <w:rPr>
          <w:rFonts w:asciiTheme="minorHAnsi" w:hAnsiTheme="minorHAnsi"/>
        </w:rPr>
        <w:t>NAAQS</w:t>
      </w:r>
      <w:r w:rsidRPr="008660EB">
        <w:rPr>
          <w:rFonts w:asciiTheme="minorHAnsi" w:hAnsiTheme="minorHAnsi"/>
        </w:rPr>
        <w:t xml:space="preserve"> there are two sets of </w:t>
      </w:r>
      <w:r>
        <w:rPr>
          <w:rFonts w:asciiTheme="minorHAnsi" w:hAnsiTheme="minorHAnsi"/>
        </w:rPr>
        <w:t>MOVES</w:t>
      </w:r>
      <w:r w:rsidRPr="008660EB">
        <w:rPr>
          <w:rFonts w:asciiTheme="minorHAnsi" w:hAnsiTheme="minorHAnsi"/>
        </w:rPr>
        <w:t xml:space="preserve"> input files, one for the </w:t>
      </w:r>
      <w:r w:rsidR="006F742D">
        <w:rPr>
          <w:rFonts w:asciiTheme="minorHAnsi" w:hAnsiTheme="minorHAnsi"/>
        </w:rPr>
        <w:t>6</w:t>
      </w:r>
      <w:r w:rsidRPr="008660EB">
        <w:rPr>
          <w:rFonts w:asciiTheme="minorHAnsi" w:hAnsiTheme="minorHAnsi"/>
        </w:rPr>
        <w:t xml:space="preserve"> counties that </w:t>
      </w:r>
      <w:r w:rsidR="006F742D">
        <w:rPr>
          <w:rFonts w:asciiTheme="minorHAnsi" w:hAnsiTheme="minorHAnsi"/>
        </w:rPr>
        <w:t xml:space="preserve">were once part of the former </w:t>
      </w:r>
      <w:proofErr w:type="gramStart"/>
      <w:r w:rsidR="006F742D">
        <w:rPr>
          <w:rFonts w:asciiTheme="minorHAnsi" w:hAnsiTheme="minorHAnsi"/>
        </w:rPr>
        <w:t>one hour</w:t>
      </w:r>
      <w:proofErr w:type="gramEnd"/>
      <w:r w:rsidR="006F742D">
        <w:rPr>
          <w:rFonts w:asciiTheme="minorHAnsi" w:hAnsiTheme="minorHAnsi"/>
        </w:rPr>
        <w:t xml:space="preserve"> nonattainment area in </w:t>
      </w:r>
      <w:r w:rsidRPr="008660EB">
        <w:rPr>
          <w:rFonts w:asciiTheme="minorHAnsi" w:hAnsiTheme="minorHAnsi"/>
        </w:rPr>
        <w:t>which a specific set of emission control measures is in place</w:t>
      </w:r>
      <w:r>
        <w:rPr>
          <w:rFonts w:asciiTheme="minorHAnsi" w:hAnsiTheme="minorHAnsi"/>
        </w:rPr>
        <w:t>,</w:t>
      </w:r>
      <w:r w:rsidRPr="008660EB">
        <w:rPr>
          <w:rFonts w:asciiTheme="minorHAnsi" w:hAnsiTheme="minorHAnsi"/>
        </w:rPr>
        <w:t xml:space="preserve"> and one </w:t>
      </w:r>
      <w:r>
        <w:rPr>
          <w:rFonts w:asciiTheme="minorHAnsi" w:hAnsiTheme="minorHAnsi"/>
        </w:rPr>
        <w:t xml:space="preserve">for the </w:t>
      </w:r>
      <w:r w:rsidR="006F742D">
        <w:rPr>
          <w:rFonts w:asciiTheme="minorHAnsi" w:hAnsiTheme="minorHAnsi"/>
        </w:rPr>
        <w:t xml:space="preserve">1 </w:t>
      </w:r>
      <w:r>
        <w:rPr>
          <w:rFonts w:asciiTheme="minorHAnsi" w:hAnsiTheme="minorHAnsi"/>
        </w:rPr>
        <w:t xml:space="preserve">remaining </w:t>
      </w:r>
      <w:r w:rsidR="006F742D">
        <w:rPr>
          <w:rFonts w:asciiTheme="minorHAnsi" w:hAnsiTheme="minorHAnsi"/>
        </w:rPr>
        <w:t>county</w:t>
      </w:r>
      <w:r>
        <w:rPr>
          <w:rFonts w:asciiTheme="minorHAnsi" w:hAnsiTheme="minorHAnsi"/>
        </w:rPr>
        <w:t xml:space="preserve"> in the 20</w:t>
      </w:r>
      <w:r w:rsidR="006F742D">
        <w:rPr>
          <w:rFonts w:asciiTheme="minorHAnsi" w:hAnsiTheme="minorHAnsi"/>
        </w:rPr>
        <w:t>15</w:t>
      </w:r>
      <w:r>
        <w:rPr>
          <w:rFonts w:asciiTheme="minorHAnsi" w:hAnsiTheme="minorHAnsi"/>
        </w:rPr>
        <w:t xml:space="preserve"> 8-hour ozone maintenance area.</w:t>
      </w:r>
    </w:p>
  </w:footnote>
  <w:footnote w:id="3">
    <w:p w14:paraId="468CB860" w14:textId="77777777" w:rsidR="00BF17E7" w:rsidRPr="00B92085" w:rsidRDefault="00BF17E7" w:rsidP="00BF17E7">
      <w:pPr>
        <w:pStyle w:val="FootnoteText"/>
        <w:rPr>
          <w:rFonts w:asciiTheme="minorHAnsi" w:hAnsiTheme="minorHAnsi"/>
        </w:rPr>
      </w:pPr>
      <w:r w:rsidRPr="008660EB">
        <w:rPr>
          <w:rStyle w:val="FootnoteReference"/>
          <w:rFonts w:asciiTheme="minorHAnsi" w:hAnsiTheme="minorHAnsi"/>
        </w:rPr>
        <w:footnoteRef/>
      </w:r>
      <w:r w:rsidRPr="008660EB">
        <w:rPr>
          <w:rFonts w:asciiTheme="minorHAnsi" w:hAnsiTheme="minorHAnsi"/>
        </w:rPr>
        <w:t xml:space="preserve"> </w:t>
      </w:r>
      <w:r w:rsidRPr="008660EB">
        <w:rPr>
          <w:rFonts w:asciiTheme="minorHAnsi" w:hAnsiTheme="minorHAnsi"/>
          <w:i/>
        </w:rPr>
        <w:t>Procedures for Emission Inventory Preparation, Volume IV: Mobile Sources</w:t>
      </w:r>
      <w:r w:rsidRPr="008660EB">
        <w:rPr>
          <w:rFonts w:asciiTheme="minorHAnsi" w:hAnsiTheme="minorHAnsi"/>
        </w:rPr>
        <w:t>, Section 3.4.2.6, EPA420-R-92-009, USEPA Office of Air and Radiation, Office of Mobile Sources, 1992.</w:t>
      </w:r>
    </w:p>
  </w:footnote>
  <w:footnote w:id="4">
    <w:p w14:paraId="53346E9A" w14:textId="77777777" w:rsidR="00F63734" w:rsidRPr="00721F4C" w:rsidRDefault="00F63734" w:rsidP="00F63734">
      <w:pPr>
        <w:pStyle w:val="FootnoteText"/>
        <w:rPr>
          <w:rFonts w:asciiTheme="minorHAnsi" w:hAnsiTheme="minorHAnsi"/>
          <w:highlight w:val="yellow"/>
        </w:rPr>
      </w:pPr>
      <w:r w:rsidRPr="003D5D03">
        <w:rPr>
          <w:rStyle w:val="FootnoteReference"/>
          <w:rFonts w:asciiTheme="minorHAnsi" w:hAnsiTheme="minorHAnsi"/>
        </w:rPr>
        <w:footnoteRef/>
      </w:r>
      <w:r w:rsidRPr="003D5D03">
        <w:rPr>
          <w:rFonts w:asciiTheme="minorHAnsi" w:hAnsiTheme="minorHAnsi"/>
        </w:rPr>
        <w:t xml:space="preserve"> </w:t>
      </w:r>
      <w:r w:rsidRPr="008660EB">
        <w:rPr>
          <w:rFonts w:asciiTheme="minorHAnsi" w:hAnsiTheme="minorHAnsi"/>
          <w:i/>
        </w:rPr>
        <w:t>Procedures for Emission Inventory Preparation, Volume IV: Mobile Sources</w:t>
      </w:r>
      <w:r w:rsidRPr="008660EB">
        <w:rPr>
          <w:rFonts w:asciiTheme="minorHAnsi" w:hAnsiTheme="minorHAnsi"/>
        </w:rPr>
        <w:t>, Section 3.4.2.6, EPA420-R-92-009, USEPA Office of Air and Radiation, Office of Mobile Sources, 1992.</w:t>
      </w:r>
    </w:p>
  </w:footnote>
  <w:footnote w:id="5">
    <w:p w14:paraId="29F6C822" w14:textId="77777777" w:rsidR="007D4843" w:rsidRPr="00303F94" w:rsidRDefault="007D4843" w:rsidP="007D4843">
      <w:pPr>
        <w:pStyle w:val="FootnoteText"/>
        <w:rPr>
          <w:rFonts w:asciiTheme="minorHAnsi" w:hAnsiTheme="minorHAnsi"/>
        </w:rPr>
      </w:pPr>
      <w:r w:rsidRPr="008660EB">
        <w:rPr>
          <w:rStyle w:val="FootnoteReference"/>
          <w:rFonts w:asciiTheme="minorHAnsi" w:hAnsiTheme="minorHAnsi"/>
        </w:rPr>
        <w:footnoteRef/>
      </w:r>
      <w:r w:rsidRPr="008660EB">
        <w:rPr>
          <w:rFonts w:asciiTheme="minorHAnsi" w:hAnsiTheme="minorHAnsi"/>
        </w:rPr>
        <w:t xml:space="preserve"> For the </w:t>
      </w:r>
      <w:r>
        <w:rPr>
          <w:rFonts w:asciiTheme="minorHAnsi" w:hAnsiTheme="minorHAnsi"/>
        </w:rPr>
        <w:t xml:space="preserve">2008 </w:t>
      </w:r>
      <w:r w:rsidRPr="008660EB">
        <w:rPr>
          <w:rFonts w:asciiTheme="minorHAnsi" w:hAnsiTheme="minorHAnsi"/>
        </w:rPr>
        <w:t xml:space="preserve">eight-hour ozone </w:t>
      </w:r>
      <w:r>
        <w:rPr>
          <w:rFonts w:asciiTheme="minorHAnsi" w:hAnsiTheme="minorHAnsi"/>
        </w:rPr>
        <w:t>NAAQS</w:t>
      </w:r>
      <w:r w:rsidRPr="008660EB">
        <w:rPr>
          <w:rFonts w:asciiTheme="minorHAnsi" w:hAnsiTheme="minorHAnsi"/>
        </w:rPr>
        <w:t xml:space="preserve"> there are two sets of </w:t>
      </w:r>
      <w:r>
        <w:rPr>
          <w:rFonts w:asciiTheme="minorHAnsi" w:hAnsiTheme="minorHAnsi"/>
        </w:rPr>
        <w:t>MOVES</w:t>
      </w:r>
      <w:r w:rsidRPr="008660EB">
        <w:rPr>
          <w:rFonts w:asciiTheme="minorHAnsi" w:hAnsiTheme="minorHAnsi"/>
        </w:rPr>
        <w:t xml:space="preserve"> input files, one for the 13 counties that make up the former one-hour ozone nonattainment area in which a specific set of emission control measures is in place</w:t>
      </w:r>
      <w:r>
        <w:rPr>
          <w:rFonts w:asciiTheme="minorHAnsi" w:hAnsiTheme="minorHAnsi"/>
        </w:rPr>
        <w:t>,</w:t>
      </w:r>
      <w:r w:rsidRPr="008660EB">
        <w:rPr>
          <w:rFonts w:asciiTheme="minorHAnsi" w:hAnsiTheme="minorHAnsi"/>
        </w:rPr>
        <w:t xml:space="preserve"> and one </w:t>
      </w:r>
      <w:r>
        <w:rPr>
          <w:rFonts w:asciiTheme="minorHAnsi" w:hAnsiTheme="minorHAnsi"/>
        </w:rPr>
        <w:t>for the 2 remaining ring counties in the 2008 8-hour ozone maintenance area.</w:t>
      </w:r>
    </w:p>
  </w:footnote>
  <w:footnote w:id="6">
    <w:p w14:paraId="7B687CE4" w14:textId="77777777" w:rsidR="007D4843" w:rsidRPr="00B92085" w:rsidRDefault="007D4843" w:rsidP="007D4843">
      <w:pPr>
        <w:pStyle w:val="FootnoteText"/>
        <w:rPr>
          <w:rFonts w:asciiTheme="minorHAnsi" w:hAnsiTheme="minorHAnsi"/>
        </w:rPr>
      </w:pPr>
      <w:r w:rsidRPr="008660EB">
        <w:rPr>
          <w:rStyle w:val="FootnoteReference"/>
          <w:rFonts w:asciiTheme="minorHAnsi" w:hAnsiTheme="minorHAnsi"/>
        </w:rPr>
        <w:footnoteRef/>
      </w:r>
      <w:r w:rsidRPr="008660EB">
        <w:rPr>
          <w:rFonts w:asciiTheme="minorHAnsi" w:hAnsiTheme="minorHAnsi"/>
        </w:rPr>
        <w:t xml:space="preserve"> </w:t>
      </w:r>
      <w:r w:rsidRPr="008660EB">
        <w:rPr>
          <w:rFonts w:asciiTheme="minorHAnsi" w:hAnsiTheme="minorHAnsi"/>
          <w:i/>
        </w:rPr>
        <w:t>Procedures for Emission Inventory Preparation, Volume IV: Mobile Sources</w:t>
      </w:r>
      <w:r w:rsidRPr="008660EB">
        <w:rPr>
          <w:rFonts w:asciiTheme="minorHAnsi" w:hAnsiTheme="minorHAnsi"/>
        </w:rPr>
        <w:t>, Section 3.4.2.6, EPA420-R-92-009, USEPA Office of Air and Radiation, Office of Mobile Sources, 1992.</w:t>
      </w:r>
    </w:p>
  </w:footnote>
  <w:footnote w:id="7">
    <w:p w14:paraId="4A29917A" w14:textId="77777777" w:rsidR="00A703D7" w:rsidRDefault="00A703D7" w:rsidP="002F50E5">
      <w:pPr>
        <w:pStyle w:val="NoSpacing"/>
      </w:pPr>
      <w:r w:rsidRPr="008660EB">
        <w:rPr>
          <w:rStyle w:val="FootnoteReference"/>
          <w:rFonts w:asciiTheme="minorHAnsi" w:hAnsiTheme="minorHAnsi"/>
        </w:rPr>
        <w:footnoteRef/>
      </w:r>
      <w:r w:rsidRPr="008660EB">
        <w:rPr>
          <w:sz w:val="20"/>
          <w:szCs w:val="20"/>
        </w:rPr>
        <w:t xml:space="preserve"> Within the ARC travel demand and emission modeling process, free flow speeds are adjusted to reflect the increase in delay and travel time on a roadway segment as traffic volumes build and congestion levels increase.  Link-level congested flow speeds are used to estimate NOx and VOC emissions as required by Sections 93.122(b)(</w:t>
      </w:r>
      <w:proofErr w:type="gramStart"/>
      <w:r w:rsidRPr="008660EB">
        <w:rPr>
          <w:sz w:val="20"/>
          <w:szCs w:val="20"/>
        </w:rPr>
        <w:t>i)</w:t>
      </w:r>
      <w:r>
        <w:rPr>
          <w:sz w:val="20"/>
          <w:szCs w:val="20"/>
        </w:rPr>
        <w:t>-</w:t>
      </w:r>
      <w:r w:rsidRPr="008660EB">
        <w:rPr>
          <w:sz w:val="20"/>
          <w:szCs w:val="20"/>
        </w:rPr>
        <w:t>(</w:t>
      </w:r>
      <w:proofErr w:type="gramEnd"/>
      <w:r w:rsidRPr="008660EB">
        <w:rPr>
          <w:sz w:val="20"/>
          <w:szCs w:val="20"/>
        </w:rPr>
        <w:t>iv) and 93.122(b)(2) of the Transportation Conformity Rule.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1BBE"/>
    <w:multiLevelType w:val="hybridMultilevel"/>
    <w:tmpl w:val="7A022DA6"/>
    <w:lvl w:ilvl="0" w:tplc="04090011">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96375C"/>
    <w:multiLevelType w:val="hybridMultilevel"/>
    <w:tmpl w:val="F9641EF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CC5BFA"/>
    <w:multiLevelType w:val="hybridMultilevel"/>
    <w:tmpl w:val="89AAD25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186403E"/>
    <w:multiLevelType w:val="hybridMultilevel"/>
    <w:tmpl w:val="0FA4844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9611F41"/>
    <w:multiLevelType w:val="hybridMultilevel"/>
    <w:tmpl w:val="0FA4844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E6BA5"/>
    <w:multiLevelType w:val="hybridMultilevel"/>
    <w:tmpl w:val="BE681A4C"/>
    <w:lvl w:ilvl="0" w:tplc="481814E8">
      <w:start w:val="1"/>
      <w:numFmt w:val="lowerLetter"/>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6174CA"/>
    <w:multiLevelType w:val="hybridMultilevel"/>
    <w:tmpl w:val="6BAC3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F84D19"/>
    <w:multiLevelType w:val="hybridMultilevel"/>
    <w:tmpl w:val="0FA4844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776AFA"/>
    <w:multiLevelType w:val="hybridMultilevel"/>
    <w:tmpl w:val="BCE66146"/>
    <w:lvl w:ilvl="0" w:tplc="04090011">
      <w:start w:val="1"/>
      <w:numFmt w:val="decimal"/>
      <w:lvlText w:val="%1)"/>
      <w:lvlJc w:val="left"/>
      <w:pPr>
        <w:ind w:left="720" w:hanging="360"/>
      </w:pPr>
      <w:rPr>
        <w:rFonts w:hint="default"/>
      </w:rPr>
    </w:lvl>
    <w:lvl w:ilvl="1" w:tplc="481814E8">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AA005F"/>
    <w:multiLevelType w:val="hybridMultilevel"/>
    <w:tmpl w:val="4948D648"/>
    <w:lvl w:ilvl="0" w:tplc="510C8D10">
      <w:start w:val="1"/>
      <w:numFmt w:val="decimal"/>
      <w:lvlText w:val="%1)"/>
      <w:lvlJc w:val="left"/>
      <w:pPr>
        <w:ind w:left="720" w:hanging="360"/>
      </w:pPr>
      <w:rPr>
        <w:rFonts w:hint="default"/>
        <w:color w:val="auto"/>
      </w:rPr>
    </w:lvl>
    <w:lvl w:ilvl="1" w:tplc="19E4896C">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1E7301"/>
    <w:multiLevelType w:val="hybridMultilevel"/>
    <w:tmpl w:val="A0BCE91C"/>
    <w:lvl w:ilvl="0" w:tplc="481814E8">
      <w:start w:val="1"/>
      <w:numFmt w:val="lowerLetter"/>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B40586"/>
    <w:multiLevelType w:val="hybridMultilevel"/>
    <w:tmpl w:val="39225D5E"/>
    <w:lvl w:ilvl="0" w:tplc="FFFFFFFF">
      <w:start w:val="1"/>
      <w:numFmt w:val="decimal"/>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2343A54"/>
    <w:multiLevelType w:val="hybridMultilevel"/>
    <w:tmpl w:val="C02021E8"/>
    <w:lvl w:ilvl="0" w:tplc="E98E91C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C45BED"/>
    <w:multiLevelType w:val="hybridMultilevel"/>
    <w:tmpl w:val="A078AB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06C3AEF"/>
    <w:multiLevelType w:val="hybridMultilevel"/>
    <w:tmpl w:val="F0A804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F56BB7"/>
    <w:multiLevelType w:val="hybridMultilevel"/>
    <w:tmpl w:val="4948D648"/>
    <w:lvl w:ilvl="0" w:tplc="FFFFFFFF">
      <w:start w:val="1"/>
      <w:numFmt w:val="decimal"/>
      <w:lvlText w:val="%1)"/>
      <w:lvlJc w:val="left"/>
      <w:pPr>
        <w:ind w:left="720" w:hanging="360"/>
      </w:pPr>
      <w:rPr>
        <w:rFonts w:hint="default"/>
        <w:color w:val="auto"/>
      </w:rPr>
    </w:lvl>
    <w:lvl w:ilvl="1" w:tplc="FFFFFFFF">
      <w:start w:val="1"/>
      <w:numFmt w:val="lowerLetter"/>
      <w:lvlText w:val="%2."/>
      <w:lvlJc w:val="left"/>
      <w:pPr>
        <w:ind w:left="144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7C10521"/>
    <w:multiLevelType w:val="hybridMultilevel"/>
    <w:tmpl w:val="C5C6F27E"/>
    <w:lvl w:ilvl="0" w:tplc="34446C2C">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0070989">
    <w:abstractNumId w:val="16"/>
  </w:num>
  <w:num w:numId="2" w16cid:durableId="608395439">
    <w:abstractNumId w:val="4"/>
  </w:num>
  <w:num w:numId="3" w16cid:durableId="1865826090">
    <w:abstractNumId w:val="9"/>
  </w:num>
  <w:num w:numId="4" w16cid:durableId="1107191856">
    <w:abstractNumId w:val="8"/>
  </w:num>
  <w:num w:numId="5" w16cid:durableId="1723020975">
    <w:abstractNumId w:val="12"/>
  </w:num>
  <w:num w:numId="6" w16cid:durableId="1780368597">
    <w:abstractNumId w:val="13"/>
  </w:num>
  <w:num w:numId="7" w16cid:durableId="1312906605">
    <w:abstractNumId w:val="6"/>
  </w:num>
  <w:num w:numId="8" w16cid:durableId="120421895">
    <w:abstractNumId w:val="2"/>
  </w:num>
  <w:num w:numId="9" w16cid:durableId="51465145">
    <w:abstractNumId w:val="7"/>
  </w:num>
  <w:num w:numId="10" w16cid:durableId="1415667463">
    <w:abstractNumId w:val="1"/>
  </w:num>
  <w:num w:numId="11" w16cid:durableId="1764180759">
    <w:abstractNumId w:val="14"/>
  </w:num>
  <w:num w:numId="12" w16cid:durableId="72632240">
    <w:abstractNumId w:val="10"/>
  </w:num>
  <w:num w:numId="13" w16cid:durableId="1587686478">
    <w:abstractNumId w:val="3"/>
  </w:num>
  <w:num w:numId="14" w16cid:durableId="674263682">
    <w:abstractNumId w:val="15"/>
  </w:num>
  <w:num w:numId="15" w16cid:durableId="668288210">
    <w:abstractNumId w:val="11"/>
  </w:num>
  <w:num w:numId="16" w16cid:durableId="950163405">
    <w:abstractNumId w:val="5"/>
  </w:num>
  <w:num w:numId="17" w16cid:durableId="1527058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504"/>
    <w:rsid w:val="000136E6"/>
    <w:rsid w:val="000663D2"/>
    <w:rsid w:val="0006701E"/>
    <w:rsid w:val="00075359"/>
    <w:rsid w:val="00093C8E"/>
    <w:rsid w:val="000C3919"/>
    <w:rsid w:val="000F748A"/>
    <w:rsid w:val="001112B4"/>
    <w:rsid w:val="0011606C"/>
    <w:rsid w:val="00117159"/>
    <w:rsid w:val="0012443E"/>
    <w:rsid w:val="00157BCF"/>
    <w:rsid w:val="00194256"/>
    <w:rsid w:val="0019591A"/>
    <w:rsid w:val="001C2E7F"/>
    <w:rsid w:val="001F1C81"/>
    <w:rsid w:val="00220CAB"/>
    <w:rsid w:val="00234D4D"/>
    <w:rsid w:val="00245EB4"/>
    <w:rsid w:val="002800DF"/>
    <w:rsid w:val="002B3024"/>
    <w:rsid w:val="002B5ECC"/>
    <w:rsid w:val="002E55B5"/>
    <w:rsid w:val="002F4B2F"/>
    <w:rsid w:val="002F4F4C"/>
    <w:rsid w:val="002F50E5"/>
    <w:rsid w:val="003533B8"/>
    <w:rsid w:val="0035740C"/>
    <w:rsid w:val="003910A1"/>
    <w:rsid w:val="00391F77"/>
    <w:rsid w:val="003A6A0A"/>
    <w:rsid w:val="003B6E06"/>
    <w:rsid w:val="00402194"/>
    <w:rsid w:val="00423385"/>
    <w:rsid w:val="00445EE9"/>
    <w:rsid w:val="00465DBF"/>
    <w:rsid w:val="00467E6F"/>
    <w:rsid w:val="00473BD6"/>
    <w:rsid w:val="00485C7E"/>
    <w:rsid w:val="004A3467"/>
    <w:rsid w:val="004A4D21"/>
    <w:rsid w:val="004D083C"/>
    <w:rsid w:val="004E7A88"/>
    <w:rsid w:val="004E7E3D"/>
    <w:rsid w:val="00557C93"/>
    <w:rsid w:val="005701F5"/>
    <w:rsid w:val="00597693"/>
    <w:rsid w:val="005A5603"/>
    <w:rsid w:val="005A7AB7"/>
    <w:rsid w:val="005B0745"/>
    <w:rsid w:val="005D1C51"/>
    <w:rsid w:val="005F0B6E"/>
    <w:rsid w:val="005F7D65"/>
    <w:rsid w:val="00630BBC"/>
    <w:rsid w:val="006345A0"/>
    <w:rsid w:val="0063479C"/>
    <w:rsid w:val="00646CD1"/>
    <w:rsid w:val="00685C62"/>
    <w:rsid w:val="006911CD"/>
    <w:rsid w:val="006B6236"/>
    <w:rsid w:val="006C24FF"/>
    <w:rsid w:val="006F742D"/>
    <w:rsid w:val="007022A3"/>
    <w:rsid w:val="00707EF7"/>
    <w:rsid w:val="007432EC"/>
    <w:rsid w:val="007566DE"/>
    <w:rsid w:val="00766794"/>
    <w:rsid w:val="007973B3"/>
    <w:rsid w:val="007C0E07"/>
    <w:rsid w:val="007C32B2"/>
    <w:rsid w:val="007D4843"/>
    <w:rsid w:val="008164FD"/>
    <w:rsid w:val="00870054"/>
    <w:rsid w:val="008763EE"/>
    <w:rsid w:val="008B4512"/>
    <w:rsid w:val="00946579"/>
    <w:rsid w:val="00950CEA"/>
    <w:rsid w:val="0096300C"/>
    <w:rsid w:val="00966504"/>
    <w:rsid w:val="00971CF2"/>
    <w:rsid w:val="009B12EA"/>
    <w:rsid w:val="009B6E58"/>
    <w:rsid w:val="009C605B"/>
    <w:rsid w:val="009D6BF6"/>
    <w:rsid w:val="00A2418C"/>
    <w:rsid w:val="00A703D7"/>
    <w:rsid w:val="00AA5E3D"/>
    <w:rsid w:val="00AC2474"/>
    <w:rsid w:val="00AC6096"/>
    <w:rsid w:val="00AF0793"/>
    <w:rsid w:val="00B63CAF"/>
    <w:rsid w:val="00B65A69"/>
    <w:rsid w:val="00B66A19"/>
    <w:rsid w:val="00B93324"/>
    <w:rsid w:val="00BA0D47"/>
    <w:rsid w:val="00BB43F6"/>
    <w:rsid w:val="00BD5718"/>
    <w:rsid w:val="00BF17E7"/>
    <w:rsid w:val="00BF738E"/>
    <w:rsid w:val="00C564AB"/>
    <w:rsid w:val="00C703B6"/>
    <w:rsid w:val="00C87200"/>
    <w:rsid w:val="00C903F1"/>
    <w:rsid w:val="00C929F8"/>
    <w:rsid w:val="00CB0DAD"/>
    <w:rsid w:val="00CB40FB"/>
    <w:rsid w:val="00CB72FD"/>
    <w:rsid w:val="00CD21C8"/>
    <w:rsid w:val="00CD3259"/>
    <w:rsid w:val="00CE5330"/>
    <w:rsid w:val="00D8088E"/>
    <w:rsid w:val="00D86E29"/>
    <w:rsid w:val="00D920D2"/>
    <w:rsid w:val="00DC5760"/>
    <w:rsid w:val="00DC5D08"/>
    <w:rsid w:val="00DC6CFB"/>
    <w:rsid w:val="00DF6058"/>
    <w:rsid w:val="00DF659B"/>
    <w:rsid w:val="00E03C17"/>
    <w:rsid w:val="00E04F6B"/>
    <w:rsid w:val="00E1389A"/>
    <w:rsid w:val="00E226DC"/>
    <w:rsid w:val="00E24F24"/>
    <w:rsid w:val="00E30653"/>
    <w:rsid w:val="00E35ADC"/>
    <w:rsid w:val="00E6237C"/>
    <w:rsid w:val="00E723B5"/>
    <w:rsid w:val="00E90059"/>
    <w:rsid w:val="00E914B3"/>
    <w:rsid w:val="00E92C3B"/>
    <w:rsid w:val="00EA784F"/>
    <w:rsid w:val="00EC25C9"/>
    <w:rsid w:val="00EC5B63"/>
    <w:rsid w:val="00ED44EA"/>
    <w:rsid w:val="00F02A51"/>
    <w:rsid w:val="00F323D4"/>
    <w:rsid w:val="00F63734"/>
    <w:rsid w:val="00FC34F7"/>
    <w:rsid w:val="00FD02D6"/>
    <w:rsid w:val="00FD071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04B57"/>
  <w15:chartTrackingRefBased/>
  <w15:docId w15:val="{EF2E2E4B-A70B-430D-9E4E-B0CB501C6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734"/>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0E5"/>
    <w:pPr>
      <w:ind w:left="720"/>
      <w:contextualSpacing/>
    </w:pPr>
  </w:style>
  <w:style w:type="paragraph" w:styleId="FootnoteText">
    <w:name w:val="footnote text"/>
    <w:basedOn w:val="Normal"/>
    <w:link w:val="FootnoteTextChar"/>
    <w:semiHidden/>
    <w:rsid w:val="002F50E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F50E5"/>
    <w:rPr>
      <w:rFonts w:ascii="Times New Roman" w:eastAsia="Times New Roman" w:hAnsi="Times New Roman" w:cs="Times New Roman"/>
      <w:sz w:val="20"/>
      <w:szCs w:val="20"/>
    </w:rPr>
  </w:style>
  <w:style w:type="character" w:styleId="FootnoteReference">
    <w:name w:val="footnote reference"/>
    <w:basedOn w:val="DefaultParagraphFont"/>
    <w:semiHidden/>
    <w:rsid w:val="002F50E5"/>
    <w:rPr>
      <w:rFonts w:ascii="Times New Roman" w:hAnsi="Times New Roman" w:cs="Times New Roman"/>
      <w:vertAlign w:val="superscript"/>
    </w:rPr>
  </w:style>
  <w:style w:type="paragraph" w:styleId="NoSpacing">
    <w:name w:val="No Spacing"/>
    <w:link w:val="NoSpacingChar"/>
    <w:uiPriority w:val="1"/>
    <w:qFormat/>
    <w:rsid w:val="002F50E5"/>
    <w:pPr>
      <w:spacing w:after="0" w:line="240" w:lineRule="auto"/>
    </w:pPr>
    <w:rPr>
      <w:rFonts w:ascii="Calibri" w:eastAsia="Times New Roman" w:hAnsi="Calibri" w:cs="Times New Roman"/>
    </w:rPr>
  </w:style>
  <w:style w:type="character" w:styleId="Strong">
    <w:name w:val="Strong"/>
    <w:basedOn w:val="DefaultParagraphFont"/>
    <w:qFormat/>
    <w:rsid w:val="002F50E5"/>
    <w:rPr>
      <w:rFonts w:ascii="Times New Roman" w:hAnsi="Times New Roman" w:cs="Times New Roman"/>
      <w:b/>
      <w:bCs/>
    </w:rPr>
  </w:style>
  <w:style w:type="paragraph" w:styleId="Footer">
    <w:name w:val="footer"/>
    <w:basedOn w:val="Normal"/>
    <w:link w:val="FooterChar"/>
    <w:uiPriority w:val="99"/>
    <w:unhideWhenUsed/>
    <w:rsid w:val="002F50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50E5"/>
    <w:rPr>
      <w:rFonts w:eastAsiaTheme="minorEastAsia"/>
    </w:rPr>
  </w:style>
  <w:style w:type="table" w:styleId="TableGridLight">
    <w:name w:val="Grid Table Light"/>
    <w:basedOn w:val="TableNormal"/>
    <w:uiPriority w:val="40"/>
    <w:rsid w:val="002F50E5"/>
    <w:pPr>
      <w:spacing w:after="0" w:line="240" w:lineRule="auto"/>
    </w:pPr>
    <w:rPr>
      <w:rFonts w:eastAsiaTheme="minorEastAsi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semiHidden/>
    <w:unhideWhenUsed/>
    <w:rsid w:val="002F50E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57B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BCF"/>
    <w:rPr>
      <w:rFonts w:ascii="Segoe UI" w:eastAsiaTheme="minorEastAsia" w:hAnsi="Segoe UI" w:cs="Segoe UI"/>
      <w:sz w:val="18"/>
      <w:szCs w:val="18"/>
    </w:rPr>
  </w:style>
  <w:style w:type="paragraph" w:styleId="Revision">
    <w:name w:val="Revision"/>
    <w:hidden/>
    <w:uiPriority w:val="99"/>
    <w:semiHidden/>
    <w:rsid w:val="00E226DC"/>
    <w:pPr>
      <w:spacing w:after="0" w:line="240" w:lineRule="auto"/>
    </w:pPr>
    <w:rPr>
      <w:rFonts w:eastAsiaTheme="minorEastAsia"/>
    </w:rPr>
  </w:style>
  <w:style w:type="character" w:customStyle="1" w:styleId="NoSpacingChar">
    <w:name w:val="No Spacing Char"/>
    <w:basedOn w:val="DefaultParagraphFont"/>
    <w:link w:val="NoSpacing"/>
    <w:uiPriority w:val="1"/>
    <w:rsid w:val="00E1389A"/>
    <w:rPr>
      <w:rFonts w:ascii="Calibri" w:eastAsia="Times New Roman" w:hAnsi="Calibri" w:cs="Times New Roman"/>
    </w:rPr>
  </w:style>
  <w:style w:type="character" w:styleId="CommentReference">
    <w:name w:val="annotation reference"/>
    <w:basedOn w:val="DefaultParagraphFont"/>
    <w:uiPriority w:val="99"/>
    <w:semiHidden/>
    <w:unhideWhenUsed/>
    <w:rsid w:val="00E1389A"/>
    <w:rPr>
      <w:sz w:val="16"/>
      <w:szCs w:val="16"/>
    </w:rPr>
  </w:style>
  <w:style w:type="paragraph" w:styleId="CommentText">
    <w:name w:val="annotation text"/>
    <w:basedOn w:val="Normal"/>
    <w:link w:val="CommentTextChar"/>
    <w:uiPriority w:val="99"/>
    <w:semiHidden/>
    <w:unhideWhenUsed/>
    <w:rsid w:val="00E1389A"/>
    <w:pPr>
      <w:spacing w:after="0" w:line="240" w:lineRule="auto"/>
    </w:pPr>
    <w:rPr>
      <w:rFonts w:ascii="Times New Roman" w:eastAsiaTheme="minorHAnsi" w:hAnsi="Times New Roman" w:cs="Times New Roman"/>
      <w:sz w:val="20"/>
      <w:szCs w:val="20"/>
    </w:rPr>
  </w:style>
  <w:style w:type="character" w:customStyle="1" w:styleId="CommentTextChar">
    <w:name w:val="Comment Text Char"/>
    <w:basedOn w:val="DefaultParagraphFont"/>
    <w:link w:val="CommentText"/>
    <w:uiPriority w:val="99"/>
    <w:semiHidden/>
    <w:rsid w:val="00E1389A"/>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499883">
      <w:bodyDiv w:val="1"/>
      <w:marLeft w:val="0"/>
      <w:marRight w:val="0"/>
      <w:marTop w:val="0"/>
      <w:marBottom w:val="0"/>
      <w:divBdr>
        <w:top w:val="none" w:sz="0" w:space="0" w:color="auto"/>
        <w:left w:val="none" w:sz="0" w:space="0" w:color="auto"/>
        <w:bottom w:val="none" w:sz="0" w:space="0" w:color="auto"/>
        <w:right w:val="none" w:sz="0" w:space="0" w:color="auto"/>
      </w:divBdr>
    </w:div>
    <w:div w:id="1117025324">
      <w:bodyDiv w:val="1"/>
      <w:marLeft w:val="0"/>
      <w:marRight w:val="0"/>
      <w:marTop w:val="0"/>
      <w:marBottom w:val="0"/>
      <w:divBdr>
        <w:top w:val="none" w:sz="0" w:space="0" w:color="auto"/>
        <w:left w:val="none" w:sz="0" w:space="0" w:color="auto"/>
        <w:bottom w:val="none" w:sz="0" w:space="0" w:color="auto"/>
        <w:right w:val="none" w:sz="0" w:space="0" w:color="auto"/>
      </w:divBdr>
    </w:div>
    <w:div w:id="1357999402">
      <w:bodyDiv w:val="1"/>
      <w:marLeft w:val="0"/>
      <w:marRight w:val="0"/>
      <w:marTop w:val="0"/>
      <w:marBottom w:val="0"/>
      <w:divBdr>
        <w:top w:val="none" w:sz="0" w:space="0" w:color="auto"/>
        <w:left w:val="none" w:sz="0" w:space="0" w:color="auto"/>
        <w:bottom w:val="none" w:sz="0" w:space="0" w:color="auto"/>
        <w:right w:val="none" w:sz="0" w:space="0" w:color="auto"/>
      </w:divBdr>
    </w:div>
    <w:div w:id="1726103097">
      <w:bodyDiv w:val="1"/>
      <w:marLeft w:val="0"/>
      <w:marRight w:val="0"/>
      <w:marTop w:val="0"/>
      <w:marBottom w:val="0"/>
      <w:divBdr>
        <w:top w:val="none" w:sz="0" w:space="0" w:color="auto"/>
        <w:left w:val="none" w:sz="0" w:space="0" w:color="auto"/>
        <w:bottom w:val="none" w:sz="0" w:space="0" w:color="auto"/>
        <w:right w:val="none" w:sz="0" w:space="0" w:color="auto"/>
      </w:divBdr>
    </w:div>
    <w:div w:id="1743289350">
      <w:bodyDiv w:val="1"/>
      <w:marLeft w:val="0"/>
      <w:marRight w:val="0"/>
      <w:marTop w:val="0"/>
      <w:marBottom w:val="0"/>
      <w:divBdr>
        <w:top w:val="none" w:sz="0" w:space="0" w:color="auto"/>
        <w:left w:val="none" w:sz="0" w:space="0" w:color="auto"/>
        <w:bottom w:val="none" w:sz="0" w:space="0" w:color="auto"/>
        <w:right w:val="none" w:sz="0" w:space="0" w:color="auto"/>
      </w:divBdr>
    </w:div>
    <w:div w:id="199741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atlantaregion\shares\research\Forecasting\Forecasts\S16\MC\NEW_county_race_age.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atlantaregion\shares\research\Forecasting\Forecasts\S16\MC\NEW_county_race_age.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atlantaregion\shares\research\Forecasting\Forecasts\S16\MC\County_Race_Age.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C:\Users\MikeC\Downloads\Sector%20emp%20and%20LFPR_1990-2050_MPO_S16%20TARP_M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Forecast Population and Employment, 2015-2050</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Region_Summary_LineChart!$A$9</c:f>
              <c:strCache>
                <c:ptCount val="1"/>
                <c:pt idx="0">
                  <c:v>Total Pop</c:v>
                </c:pt>
              </c:strCache>
            </c:strRef>
          </c:tx>
          <c:spPr>
            <a:ln w="28575" cap="rnd">
              <a:solidFill>
                <a:schemeClr val="accent1"/>
              </a:solidFill>
              <a:round/>
            </a:ln>
            <a:effectLst/>
          </c:spPr>
          <c:marker>
            <c:symbol val="none"/>
          </c:marker>
          <c:dLbls>
            <c:dLbl>
              <c:idx val="0"/>
              <c:layout>
                <c:manualLayout>
                  <c:x val="-1.9565053803897975E-2"/>
                  <c:y val="-5.34045393858478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E47-4ED2-8591-CE94A7FB604A}"/>
                </c:ext>
              </c:extLst>
            </c:dLbl>
            <c:dLbl>
              <c:idx val="35"/>
              <c:layout>
                <c:manualLayout>
                  <c:x val="-1.6555045526375309E-2"/>
                  <c:y val="-5.34045393858477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E47-4ED2-8591-CE94A7FB604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Region_Summary_LineChart!$B$8:$AK$8</c:f>
              <c:numCache>
                <c:formatCode>General</c:formatCode>
                <c:ptCount val="3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pt idx="16">
                  <c:v>2031</c:v>
                </c:pt>
                <c:pt idx="17">
                  <c:v>2032</c:v>
                </c:pt>
                <c:pt idx="18">
                  <c:v>2033</c:v>
                </c:pt>
                <c:pt idx="19">
                  <c:v>2034</c:v>
                </c:pt>
                <c:pt idx="20">
                  <c:v>2035</c:v>
                </c:pt>
                <c:pt idx="21">
                  <c:v>2036</c:v>
                </c:pt>
                <c:pt idx="22">
                  <c:v>2037</c:v>
                </c:pt>
                <c:pt idx="23">
                  <c:v>2038</c:v>
                </c:pt>
                <c:pt idx="24">
                  <c:v>2039</c:v>
                </c:pt>
                <c:pt idx="25">
                  <c:v>2040</c:v>
                </c:pt>
                <c:pt idx="26">
                  <c:v>2041</c:v>
                </c:pt>
                <c:pt idx="27">
                  <c:v>2042</c:v>
                </c:pt>
                <c:pt idx="28">
                  <c:v>2043</c:v>
                </c:pt>
                <c:pt idx="29">
                  <c:v>2044</c:v>
                </c:pt>
                <c:pt idx="30">
                  <c:v>2045</c:v>
                </c:pt>
                <c:pt idx="31">
                  <c:v>2046</c:v>
                </c:pt>
                <c:pt idx="32">
                  <c:v>2047</c:v>
                </c:pt>
                <c:pt idx="33">
                  <c:v>2048</c:v>
                </c:pt>
                <c:pt idx="34">
                  <c:v>2049</c:v>
                </c:pt>
                <c:pt idx="35">
                  <c:v>2050</c:v>
                </c:pt>
              </c:numCache>
            </c:numRef>
          </c:cat>
          <c:val>
            <c:numRef>
              <c:f>Region_Summary_LineChart!$B$9:$AK$9</c:f>
              <c:numCache>
                <c:formatCode>_(* #,##0_);_(* \(#,##0\);_(* "-"??_);_(@_)</c:formatCode>
                <c:ptCount val="36"/>
                <c:pt idx="0">
                  <c:v>5721011</c:v>
                </c:pt>
                <c:pt idx="1">
                  <c:v>5701712</c:v>
                </c:pt>
                <c:pt idx="2">
                  <c:v>5812315</c:v>
                </c:pt>
                <c:pt idx="3">
                  <c:v>5894411</c:v>
                </c:pt>
                <c:pt idx="4">
                  <c:v>6063786</c:v>
                </c:pt>
                <c:pt idx="5">
                  <c:v>6268127</c:v>
                </c:pt>
                <c:pt idx="6">
                  <c:v>6336900</c:v>
                </c:pt>
                <c:pt idx="7">
                  <c:v>6434724</c:v>
                </c:pt>
                <c:pt idx="8">
                  <c:v>6544480</c:v>
                </c:pt>
                <c:pt idx="9">
                  <c:v>6654326</c:v>
                </c:pt>
                <c:pt idx="10">
                  <c:v>6858931</c:v>
                </c:pt>
                <c:pt idx="11">
                  <c:v>6926078</c:v>
                </c:pt>
                <c:pt idx="12">
                  <c:v>6994279</c:v>
                </c:pt>
                <c:pt idx="13">
                  <c:v>7064822</c:v>
                </c:pt>
                <c:pt idx="14">
                  <c:v>7137568</c:v>
                </c:pt>
                <c:pt idx="15">
                  <c:v>7209888</c:v>
                </c:pt>
                <c:pt idx="16">
                  <c:v>7282120</c:v>
                </c:pt>
                <c:pt idx="17">
                  <c:v>7354480</c:v>
                </c:pt>
                <c:pt idx="18">
                  <c:v>7427122</c:v>
                </c:pt>
                <c:pt idx="19">
                  <c:v>7500091</c:v>
                </c:pt>
                <c:pt idx="20">
                  <c:v>7573556</c:v>
                </c:pt>
                <c:pt idx="21">
                  <c:v>7647156</c:v>
                </c:pt>
                <c:pt idx="22">
                  <c:v>7720962</c:v>
                </c:pt>
                <c:pt idx="23">
                  <c:v>7794562</c:v>
                </c:pt>
                <c:pt idx="24">
                  <c:v>7867862</c:v>
                </c:pt>
                <c:pt idx="25">
                  <c:v>7941149</c:v>
                </c:pt>
                <c:pt idx="26">
                  <c:v>8013852</c:v>
                </c:pt>
                <c:pt idx="27">
                  <c:v>8086329</c:v>
                </c:pt>
                <c:pt idx="28">
                  <c:v>8158158</c:v>
                </c:pt>
                <c:pt idx="29">
                  <c:v>8229459</c:v>
                </c:pt>
                <c:pt idx="30">
                  <c:v>8306978</c:v>
                </c:pt>
                <c:pt idx="31">
                  <c:v>8374975</c:v>
                </c:pt>
                <c:pt idx="32">
                  <c:v>8441483</c:v>
                </c:pt>
                <c:pt idx="33">
                  <c:v>8506263</c:v>
                </c:pt>
                <c:pt idx="34">
                  <c:v>8570059</c:v>
                </c:pt>
                <c:pt idx="35">
                  <c:v>8632705</c:v>
                </c:pt>
              </c:numCache>
            </c:numRef>
          </c:val>
          <c:smooth val="0"/>
          <c:extLst>
            <c:ext xmlns:c16="http://schemas.microsoft.com/office/drawing/2014/chart" uri="{C3380CC4-5D6E-409C-BE32-E72D297353CC}">
              <c16:uniqueId val="{00000002-0E47-4ED2-8591-CE94A7FB604A}"/>
            </c:ext>
          </c:extLst>
        </c:ser>
        <c:ser>
          <c:idx val="1"/>
          <c:order val="1"/>
          <c:tx>
            <c:strRef>
              <c:f>Region_Summary_LineChart!$A$10</c:f>
              <c:strCache>
                <c:ptCount val="1"/>
                <c:pt idx="0">
                  <c:v>Total Employment</c:v>
                </c:pt>
              </c:strCache>
            </c:strRef>
          </c:tx>
          <c:spPr>
            <a:ln w="28575" cap="rnd">
              <a:solidFill>
                <a:schemeClr val="accent2"/>
              </a:solidFill>
              <a:round/>
            </a:ln>
            <a:effectLst/>
          </c:spPr>
          <c:marker>
            <c:symbol val="none"/>
          </c:marker>
          <c:dLbls>
            <c:dLbl>
              <c:idx val="0"/>
              <c:layout>
                <c:manualLayout>
                  <c:x val="-1.3545037248852435E-2"/>
                  <c:y val="5.67423230974632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E47-4ED2-8591-CE94A7FB604A}"/>
                </c:ext>
              </c:extLst>
            </c:dLbl>
            <c:dLbl>
              <c:idx val="35"/>
              <c:layout>
                <c:manualLayout>
                  <c:x val="-1.3545037248852435E-2"/>
                  <c:y val="7.34312416555406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E47-4ED2-8591-CE94A7FB604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Region_Summary_LineChart!$B$8:$AK$8</c:f>
              <c:numCache>
                <c:formatCode>General</c:formatCode>
                <c:ptCount val="3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pt idx="16">
                  <c:v>2031</c:v>
                </c:pt>
                <c:pt idx="17">
                  <c:v>2032</c:v>
                </c:pt>
                <c:pt idx="18">
                  <c:v>2033</c:v>
                </c:pt>
                <c:pt idx="19">
                  <c:v>2034</c:v>
                </c:pt>
                <c:pt idx="20">
                  <c:v>2035</c:v>
                </c:pt>
                <c:pt idx="21">
                  <c:v>2036</c:v>
                </c:pt>
                <c:pt idx="22">
                  <c:v>2037</c:v>
                </c:pt>
                <c:pt idx="23">
                  <c:v>2038</c:v>
                </c:pt>
                <c:pt idx="24">
                  <c:v>2039</c:v>
                </c:pt>
                <c:pt idx="25">
                  <c:v>2040</c:v>
                </c:pt>
                <c:pt idx="26">
                  <c:v>2041</c:v>
                </c:pt>
                <c:pt idx="27">
                  <c:v>2042</c:v>
                </c:pt>
                <c:pt idx="28">
                  <c:v>2043</c:v>
                </c:pt>
                <c:pt idx="29">
                  <c:v>2044</c:v>
                </c:pt>
                <c:pt idx="30">
                  <c:v>2045</c:v>
                </c:pt>
                <c:pt idx="31">
                  <c:v>2046</c:v>
                </c:pt>
                <c:pt idx="32">
                  <c:v>2047</c:v>
                </c:pt>
                <c:pt idx="33">
                  <c:v>2048</c:v>
                </c:pt>
                <c:pt idx="34">
                  <c:v>2049</c:v>
                </c:pt>
                <c:pt idx="35">
                  <c:v>2050</c:v>
                </c:pt>
              </c:numCache>
            </c:numRef>
          </c:cat>
          <c:val>
            <c:numRef>
              <c:f>Region_Summary_LineChart!$B$10:$AK$10</c:f>
              <c:numCache>
                <c:formatCode>_(* #,##0_);_(* \(#,##0\);_(* "-"??_);_(@_)</c:formatCode>
                <c:ptCount val="36"/>
                <c:pt idx="0">
                  <c:v>3562350</c:v>
                </c:pt>
                <c:pt idx="1">
                  <c:v>3615713</c:v>
                </c:pt>
                <c:pt idx="2">
                  <c:v>3684088</c:v>
                </c:pt>
                <c:pt idx="3">
                  <c:v>3739067</c:v>
                </c:pt>
                <c:pt idx="4">
                  <c:v>3809535</c:v>
                </c:pt>
                <c:pt idx="5">
                  <c:v>3841718</c:v>
                </c:pt>
                <c:pt idx="6">
                  <c:v>3852374</c:v>
                </c:pt>
                <c:pt idx="7">
                  <c:v>3855130</c:v>
                </c:pt>
                <c:pt idx="8">
                  <c:v>3871311</c:v>
                </c:pt>
                <c:pt idx="9">
                  <c:v>3888873</c:v>
                </c:pt>
                <c:pt idx="10">
                  <c:v>3925549</c:v>
                </c:pt>
                <c:pt idx="11">
                  <c:v>3946195</c:v>
                </c:pt>
                <c:pt idx="12">
                  <c:v>3964244</c:v>
                </c:pt>
                <c:pt idx="13">
                  <c:v>3988598</c:v>
                </c:pt>
                <c:pt idx="14">
                  <c:v>4014968</c:v>
                </c:pt>
                <c:pt idx="15">
                  <c:v>4042662</c:v>
                </c:pt>
                <c:pt idx="16">
                  <c:v>4073241</c:v>
                </c:pt>
                <c:pt idx="17">
                  <c:v>4102003</c:v>
                </c:pt>
                <c:pt idx="18">
                  <c:v>4129161</c:v>
                </c:pt>
                <c:pt idx="19">
                  <c:v>4157725</c:v>
                </c:pt>
                <c:pt idx="20">
                  <c:v>4187406</c:v>
                </c:pt>
                <c:pt idx="21">
                  <c:v>4217329</c:v>
                </c:pt>
                <c:pt idx="22">
                  <c:v>4252124</c:v>
                </c:pt>
                <c:pt idx="23">
                  <c:v>4286827</c:v>
                </c:pt>
                <c:pt idx="24">
                  <c:v>4320973</c:v>
                </c:pt>
                <c:pt idx="25">
                  <c:v>4355987</c:v>
                </c:pt>
                <c:pt idx="26">
                  <c:v>4387397</c:v>
                </c:pt>
                <c:pt idx="27">
                  <c:v>4423436</c:v>
                </c:pt>
                <c:pt idx="28">
                  <c:v>4459088</c:v>
                </c:pt>
                <c:pt idx="29">
                  <c:v>4495373</c:v>
                </c:pt>
                <c:pt idx="30">
                  <c:v>4532825</c:v>
                </c:pt>
                <c:pt idx="31">
                  <c:v>4573710</c:v>
                </c:pt>
                <c:pt idx="32">
                  <c:v>4615063</c:v>
                </c:pt>
                <c:pt idx="33">
                  <c:v>4652199</c:v>
                </c:pt>
                <c:pt idx="34">
                  <c:v>4697603</c:v>
                </c:pt>
                <c:pt idx="35">
                  <c:v>4740468</c:v>
                </c:pt>
              </c:numCache>
            </c:numRef>
          </c:val>
          <c:smooth val="0"/>
          <c:extLst>
            <c:ext xmlns:c16="http://schemas.microsoft.com/office/drawing/2014/chart" uri="{C3380CC4-5D6E-409C-BE32-E72D297353CC}">
              <c16:uniqueId val="{00000005-0E47-4ED2-8591-CE94A7FB604A}"/>
            </c:ext>
          </c:extLst>
        </c:ser>
        <c:dLbls>
          <c:showLegendKey val="0"/>
          <c:showVal val="0"/>
          <c:showCatName val="0"/>
          <c:showSerName val="0"/>
          <c:showPercent val="0"/>
          <c:showBubbleSize val="0"/>
        </c:dLbls>
        <c:smooth val="0"/>
        <c:axId val="157293951"/>
        <c:axId val="149290111"/>
      </c:lineChart>
      <c:catAx>
        <c:axId val="1572939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9290111"/>
        <c:crosses val="autoZero"/>
        <c:auto val="1"/>
        <c:lblAlgn val="ctr"/>
        <c:lblOffset val="100"/>
        <c:noMultiLvlLbl val="0"/>
      </c:catAx>
      <c:valAx>
        <c:axId val="149290111"/>
        <c:scaling>
          <c:orientation val="minMax"/>
        </c:scaling>
        <c:delete val="0"/>
        <c:axPos val="l"/>
        <c:majorGridlines>
          <c:spPr>
            <a:ln w="9525" cap="flat" cmpd="sng" algn="ctr">
              <a:solidFill>
                <a:schemeClr val="tx1">
                  <a:lumMod val="15000"/>
                  <a:lumOff val="85000"/>
                </a:schemeClr>
              </a:solidFill>
              <a:round/>
            </a:ln>
            <a:effectLst/>
          </c:spPr>
        </c:majorGridlines>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729395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Shares of Population by Race/Ethnicity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Race!$A$27</c:f>
              <c:strCache>
                <c:ptCount val="1"/>
                <c:pt idx="0">
                  <c:v>2015</c:v>
                </c:pt>
              </c:strCache>
            </c:strRef>
          </c:tx>
          <c:spPr>
            <a:solidFill>
              <a:schemeClr val="accent1"/>
            </a:solidFill>
            <a:ln>
              <a:noFill/>
            </a:ln>
            <a:effectLst/>
          </c:spPr>
          <c:invertIfNegative val="0"/>
          <c:cat>
            <c:strRef>
              <c:f>Race!$B$26:$E$26</c:f>
              <c:strCache>
                <c:ptCount val="4"/>
                <c:pt idx="0">
                  <c:v>% Black</c:v>
                </c:pt>
                <c:pt idx="1">
                  <c:v>% Hispanic</c:v>
                </c:pt>
                <c:pt idx="2">
                  <c:v>% Other</c:v>
                </c:pt>
                <c:pt idx="3">
                  <c:v>% White</c:v>
                </c:pt>
              </c:strCache>
            </c:strRef>
          </c:cat>
          <c:val>
            <c:numRef>
              <c:f>Race!$B$27:$E$27</c:f>
              <c:numCache>
                <c:formatCode>0.0%</c:formatCode>
                <c:ptCount val="4"/>
                <c:pt idx="0">
                  <c:v>0.32810075002477707</c:v>
                </c:pt>
                <c:pt idx="1">
                  <c:v>0.11622665993825217</c:v>
                </c:pt>
                <c:pt idx="2">
                  <c:v>8.0219038208456508E-2</c:v>
                </c:pt>
                <c:pt idx="3">
                  <c:v>0.47545372662279445</c:v>
                </c:pt>
              </c:numCache>
            </c:numRef>
          </c:val>
          <c:extLst>
            <c:ext xmlns:c16="http://schemas.microsoft.com/office/drawing/2014/chart" uri="{C3380CC4-5D6E-409C-BE32-E72D297353CC}">
              <c16:uniqueId val="{00000000-62DF-42A8-98E1-19ECCA192625}"/>
            </c:ext>
          </c:extLst>
        </c:ser>
        <c:ser>
          <c:idx val="1"/>
          <c:order val="1"/>
          <c:tx>
            <c:strRef>
              <c:f>Race!$A$28</c:f>
              <c:strCache>
                <c:ptCount val="1"/>
                <c:pt idx="0">
                  <c:v>2050</c:v>
                </c:pt>
              </c:strCache>
            </c:strRef>
          </c:tx>
          <c:spPr>
            <a:solidFill>
              <a:schemeClr val="accent2"/>
            </a:solidFill>
            <a:ln>
              <a:noFill/>
            </a:ln>
            <a:effectLst/>
          </c:spPr>
          <c:invertIfNegative val="0"/>
          <c:cat>
            <c:strRef>
              <c:f>Race!$B$26:$E$26</c:f>
              <c:strCache>
                <c:ptCount val="4"/>
                <c:pt idx="0">
                  <c:v>% Black</c:v>
                </c:pt>
                <c:pt idx="1">
                  <c:v>% Hispanic</c:v>
                </c:pt>
                <c:pt idx="2">
                  <c:v>% Other</c:v>
                </c:pt>
                <c:pt idx="3">
                  <c:v>% White</c:v>
                </c:pt>
              </c:strCache>
            </c:strRef>
          </c:cat>
          <c:val>
            <c:numRef>
              <c:f>Race!$B$28:$E$28</c:f>
              <c:numCache>
                <c:formatCode>0.0%</c:formatCode>
                <c:ptCount val="4"/>
                <c:pt idx="0">
                  <c:v>0.33553488632864781</c:v>
                </c:pt>
                <c:pt idx="1">
                  <c:v>0.21145658585836588</c:v>
                </c:pt>
                <c:pt idx="2">
                  <c:v>0.14233054015351407</c:v>
                </c:pt>
                <c:pt idx="3">
                  <c:v>0.31067798765947224</c:v>
                </c:pt>
              </c:numCache>
            </c:numRef>
          </c:val>
          <c:extLst>
            <c:ext xmlns:c16="http://schemas.microsoft.com/office/drawing/2014/chart" uri="{C3380CC4-5D6E-409C-BE32-E72D297353CC}">
              <c16:uniqueId val="{00000001-62DF-42A8-98E1-19ECCA192625}"/>
            </c:ext>
          </c:extLst>
        </c:ser>
        <c:dLbls>
          <c:showLegendKey val="0"/>
          <c:showVal val="0"/>
          <c:showCatName val="0"/>
          <c:showSerName val="0"/>
          <c:showPercent val="0"/>
          <c:showBubbleSize val="0"/>
        </c:dLbls>
        <c:gapWidth val="182"/>
        <c:axId val="2046898783"/>
        <c:axId val="1958333119"/>
      </c:barChart>
      <c:catAx>
        <c:axId val="2046898783"/>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58333119"/>
        <c:crosses val="autoZero"/>
        <c:auto val="1"/>
        <c:lblAlgn val="ctr"/>
        <c:lblOffset val="100"/>
        <c:noMultiLvlLbl val="0"/>
      </c:catAx>
      <c:valAx>
        <c:axId val="1958333119"/>
        <c:scaling>
          <c:orientation val="minMax"/>
        </c:scaling>
        <c:delete val="0"/>
        <c:axPos val="t"/>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4689878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dirty="0"/>
              <a:t>Age</a:t>
            </a:r>
            <a:r>
              <a:rPr lang="en-US" baseline="0" dirty="0"/>
              <a:t> Structure – 2015 and 2050</a:t>
            </a:r>
            <a:endParaRPr lang="en-US" dirty="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'S16_ County_Age'!$M$62</c:f>
              <c:strCache>
                <c:ptCount val="1"/>
                <c:pt idx="0">
                  <c:v>2015</c:v>
                </c:pt>
              </c:strCache>
            </c:strRef>
          </c:tx>
          <c:spPr>
            <a:solidFill>
              <a:schemeClr val="accent1"/>
            </a:solidFill>
            <a:ln>
              <a:noFill/>
            </a:ln>
            <a:effectLst/>
          </c:spPr>
          <c:invertIfNegative val="0"/>
          <c:cat>
            <c:strRef>
              <c:f>'S16_ County_Age'!$N$61:$R$61</c:f>
              <c:strCache>
                <c:ptCount val="5"/>
                <c:pt idx="0">
                  <c:v>% Ages 0-22</c:v>
                </c:pt>
                <c:pt idx="1">
                  <c:v>% Ages 23-38 </c:v>
                </c:pt>
                <c:pt idx="2">
                  <c:v>% Ages 39-54 </c:v>
                </c:pt>
                <c:pt idx="3">
                  <c:v>% Ages 55 - 74 </c:v>
                </c:pt>
                <c:pt idx="4">
                  <c:v>% 75+</c:v>
                </c:pt>
              </c:strCache>
            </c:strRef>
          </c:cat>
          <c:val>
            <c:numRef>
              <c:f>'S16_ County_Age'!$N$62:$R$62</c:f>
              <c:numCache>
                <c:formatCode>0.0%</c:formatCode>
                <c:ptCount val="5"/>
                <c:pt idx="0">
                  <c:v>0.31857935599144976</c:v>
                </c:pt>
                <c:pt idx="1">
                  <c:v>0.22465906812624553</c:v>
                </c:pt>
                <c:pt idx="2">
                  <c:v>0.23250558336629662</c:v>
                </c:pt>
                <c:pt idx="3">
                  <c:v>0.18369567896303643</c:v>
                </c:pt>
                <c:pt idx="4">
                  <c:v>4.0560313552971669E-2</c:v>
                </c:pt>
              </c:numCache>
            </c:numRef>
          </c:val>
          <c:extLst>
            <c:ext xmlns:c16="http://schemas.microsoft.com/office/drawing/2014/chart" uri="{C3380CC4-5D6E-409C-BE32-E72D297353CC}">
              <c16:uniqueId val="{00000000-2B90-452E-BDCE-644D5FEC432B}"/>
            </c:ext>
          </c:extLst>
        </c:ser>
        <c:ser>
          <c:idx val="1"/>
          <c:order val="1"/>
          <c:tx>
            <c:strRef>
              <c:f>'S16_ County_Age'!$M$63</c:f>
              <c:strCache>
                <c:ptCount val="1"/>
                <c:pt idx="0">
                  <c:v>2050</c:v>
                </c:pt>
              </c:strCache>
            </c:strRef>
          </c:tx>
          <c:spPr>
            <a:solidFill>
              <a:schemeClr val="accent2"/>
            </a:solidFill>
            <a:ln>
              <a:noFill/>
            </a:ln>
            <a:effectLst/>
          </c:spPr>
          <c:invertIfNegative val="0"/>
          <c:cat>
            <c:strRef>
              <c:f>'S16_ County_Age'!$N$61:$R$61</c:f>
              <c:strCache>
                <c:ptCount val="5"/>
                <c:pt idx="0">
                  <c:v>% Ages 0-22</c:v>
                </c:pt>
                <c:pt idx="1">
                  <c:v>% Ages 23-38 </c:v>
                </c:pt>
                <c:pt idx="2">
                  <c:v>% Ages 39-54 </c:v>
                </c:pt>
                <c:pt idx="3">
                  <c:v>% Ages 55 - 74 </c:v>
                </c:pt>
                <c:pt idx="4">
                  <c:v>% 75+</c:v>
                </c:pt>
              </c:strCache>
            </c:strRef>
          </c:cat>
          <c:val>
            <c:numRef>
              <c:f>'S16_ County_Age'!$N$63:$R$63</c:f>
              <c:numCache>
                <c:formatCode>0.0%</c:formatCode>
                <c:ptCount val="5"/>
                <c:pt idx="0">
                  <c:v>0.25684624058260375</c:v>
                </c:pt>
                <c:pt idx="1">
                  <c:v>0.19387887489119851</c:v>
                </c:pt>
                <c:pt idx="2">
                  <c:v>0.21083140442601117</c:v>
                </c:pt>
                <c:pt idx="3">
                  <c:v>0.21671786350819339</c:v>
                </c:pt>
                <c:pt idx="4">
                  <c:v>0.12172561659199319</c:v>
                </c:pt>
              </c:numCache>
            </c:numRef>
          </c:val>
          <c:extLst>
            <c:ext xmlns:c16="http://schemas.microsoft.com/office/drawing/2014/chart" uri="{C3380CC4-5D6E-409C-BE32-E72D297353CC}">
              <c16:uniqueId val="{00000001-2B90-452E-BDCE-644D5FEC432B}"/>
            </c:ext>
          </c:extLst>
        </c:ser>
        <c:dLbls>
          <c:showLegendKey val="0"/>
          <c:showVal val="0"/>
          <c:showCatName val="0"/>
          <c:showSerName val="0"/>
          <c:showPercent val="0"/>
          <c:showBubbleSize val="0"/>
        </c:dLbls>
        <c:gapWidth val="182"/>
        <c:axId val="1711593536"/>
        <c:axId val="450639088"/>
      </c:barChart>
      <c:catAx>
        <c:axId val="1711593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450639088"/>
        <c:crosses val="autoZero"/>
        <c:auto val="1"/>
        <c:lblAlgn val="ctr"/>
        <c:lblOffset val="100"/>
        <c:noMultiLvlLbl val="0"/>
      </c:catAx>
      <c:valAx>
        <c:axId val="450639088"/>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1711593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en-US"/>
              <a:t>60 Years of Employment Change – 1990-2050</a:t>
            </a:r>
            <a:br>
              <a:rPr lang="en-US"/>
            </a:br>
            <a:r>
              <a:rPr lang="en-US" sz="1050"/>
              <a:t>Sorted by Forecast Employment Change from 2015-2050</a:t>
            </a:r>
            <a:endParaRPr lang="en-US"/>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en-US"/>
        </a:p>
      </c:txPr>
    </c:title>
    <c:autoTitleDeleted val="0"/>
    <c:plotArea>
      <c:layout>
        <c:manualLayout>
          <c:layoutTarget val="inner"/>
          <c:xMode val="edge"/>
          <c:yMode val="edge"/>
          <c:x val="0.26088492148419679"/>
          <c:y val="0.18589796582229257"/>
          <c:w val="0.7022949370731858"/>
          <c:h val="0.72643615750671175"/>
        </c:manualLayout>
      </c:layout>
      <c:barChart>
        <c:barDir val="bar"/>
        <c:grouping val="stacked"/>
        <c:varyColors val="0"/>
        <c:ser>
          <c:idx val="0"/>
          <c:order val="0"/>
          <c:tx>
            <c:strRef>
              <c:f>'[Sector emp and LFPR_1990-2050_MPO_S16 TARP_MA.xlsx]Sheet1'!$B$38</c:f>
              <c:strCache>
                <c:ptCount val="1"/>
                <c:pt idx="0">
                  <c:v>1990</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cat>
            <c:strRef>
              <c:f>'[Sector emp and LFPR_1990-2050_MPO_S16 TARP_MA.xlsx]Sheet1'!$A$39:$A$57</c:f>
              <c:strCache>
                <c:ptCount val="19"/>
                <c:pt idx="0">
                  <c:v>Health Care and Social Assistance</c:v>
                </c:pt>
                <c:pt idx="1">
                  <c:v>Professional, Scientific, and Technical</c:v>
                </c:pt>
                <c:pt idx="2">
                  <c:v>Construction</c:v>
                </c:pt>
                <c:pt idx="3">
                  <c:v>Admin and Waste Management</c:v>
                </c:pt>
                <c:pt idx="4">
                  <c:v>Retail Trade</c:v>
                </c:pt>
                <c:pt idx="5">
                  <c:v>Finance and Insurance</c:v>
                </c:pt>
                <c:pt idx="6">
                  <c:v>Wholesale Trade</c:v>
                </c:pt>
                <c:pt idx="7">
                  <c:v>Accommodation and Food Services</c:v>
                </c:pt>
                <c:pt idx="8">
                  <c:v>Information</c:v>
                </c:pt>
                <c:pt idx="9">
                  <c:v>Other Services, except Public Admin</c:v>
                </c:pt>
                <c:pt idx="10">
                  <c:v>Real Estate and Rental and Leasing</c:v>
                </c:pt>
                <c:pt idx="11">
                  <c:v>Transportation and Warehousing</c:v>
                </c:pt>
                <c:pt idx="12">
                  <c:v>Management of Companies</c:v>
                </c:pt>
                <c:pt idx="13">
                  <c:v>Educational services; private</c:v>
                </c:pt>
                <c:pt idx="14">
                  <c:v>Arts, Entertainment, and Recreation</c:v>
                </c:pt>
                <c:pt idx="15">
                  <c:v>Mining</c:v>
                </c:pt>
                <c:pt idx="16">
                  <c:v>Forestry, Fishing, and Related</c:v>
                </c:pt>
                <c:pt idx="17">
                  <c:v>Utilities</c:v>
                </c:pt>
                <c:pt idx="18">
                  <c:v>Manufacturing</c:v>
                </c:pt>
              </c:strCache>
            </c:strRef>
          </c:cat>
          <c:val>
            <c:numRef>
              <c:f>'[Sector emp and LFPR_1990-2050_MPO_S16 TARP_MA.xlsx]Sheet1'!$B$39:$B$57</c:f>
              <c:numCache>
                <c:formatCode>_(* #,##0_);_(* \(#,##0\);_(* "-"??_);_(@_)</c:formatCode>
                <c:ptCount val="19"/>
                <c:pt idx="0">
                  <c:v>105894</c:v>
                </c:pt>
                <c:pt idx="1">
                  <c:v>122144</c:v>
                </c:pt>
                <c:pt idx="2">
                  <c:v>119553</c:v>
                </c:pt>
                <c:pt idx="3">
                  <c:v>105167</c:v>
                </c:pt>
                <c:pt idx="4">
                  <c:v>219708</c:v>
                </c:pt>
                <c:pt idx="5">
                  <c:v>99492</c:v>
                </c:pt>
                <c:pt idx="6">
                  <c:v>131215</c:v>
                </c:pt>
                <c:pt idx="7">
                  <c:v>121393</c:v>
                </c:pt>
                <c:pt idx="8">
                  <c:v>74112</c:v>
                </c:pt>
                <c:pt idx="9">
                  <c:v>100118</c:v>
                </c:pt>
                <c:pt idx="10">
                  <c:v>69508</c:v>
                </c:pt>
                <c:pt idx="11">
                  <c:v>94075</c:v>
                </c:pt>
                <c:pt idx="12">
                  <c:v>44377</c:v>
                </c:pt>
                <c:pt idx="13">
                  <c:v>26244</c:v>
                </c:pt>
                <c:pt idx="14">
                  <c:v>30457</c:v>
                </c:pt>
                <c:pt idx="15">
                  <c:v>2919</c:v>
                </c:pt>
                <c:pt idx="16">
                  <c:v>2205</c:v>
                </c:pt>
                <c:pt idx="17">
                  <c:v>13209</c:v>
                </c:pt>
                <c:pt idx="18">
                  <c:v>196852</c:v>
                </c:pt>
              </c:numCache>
            </c:numRef>
          </c:val>
          <c:extLst>
            <c:ext xmlns:c16="http://schemas.microsoft.com/office/drawing/2014/chart" uri="{C3380CC4-5D6E-409C-BE32-E72D297353CC}">
              <c16:uniqueId val="{00000000-DAA8-4525-BC4D-0DE26D97EB3A}"/>
            </c:ext>
          </c:extLst>
        </c:ser>
        <c:ser>
          <c:idx val="1"/>
          <c:order val="1"/>
          <c:tx>
            <c:strRef>
              <c:f>'[Sector emp and LFPR_1990-2050_MPO_S16 TARP_MA.xlsx]Sheet1'!$C$38</c:f>
              <c:strCache>
                <c:ptCount val="1"/>
                <c:pt idx="0">
                  <c:v>Change, 1990-2015</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cat>
            <c:strRef>
              <c:f>'[Sector emp and LFPR_1990-2050_MPO_S16 TARP_MA.xlsx]Sheet1'!$A$39:$A$57</c:f>
              <c:strCache>
                <c:ptCount val="19"/>
                <c:pt idx="0">
                  <c:v>Health Care and Social Assistance</c:v>
                </c:pt>
                <c:pt idx="1">
                  <c:v>Professional, Scientific, and Technical</c:v>
                </c:pt>
                <c:pt idx="2">
                  <c:v>Construction</c:v>
                </c:pt>
                <c:pt idx="3">
                  <c:v>Admin and Waste Management</c:v>
                </c:pt>
                <c:pt idx="4">
                  <c:v>Retail Trade</c:v>
                </c:pt>
                <c:pt idx="5">
                  <c:v>Finance and Insurance</c:v>
                </c:pt>
                <c:pt idx="6">
                  <c:v>Wholesale Trade</c:v>
                </c:pt>
                <c:pt idx="7">
                  <c:v>Accommodation and Food Services</c:v>
                </c:pt>
                <c:pt idx="8">
                  <c:v>Information</c:v>
                </c:pt>
                <c:pt idx="9">
                  <c:v>Other Services, except Public Admin</c:v>
                </c:pt>
                <c:pt idx="10">
                  <c:v>Real Estate and Rental and Leasing</c:v>
                </c:pt>
                <c:pt idx="11">
                  <c:v>Transportation and Warehousing</c:v>
                </c:pt>
                <c:pt idx="12">
                  <c:v>Management of Companies</c:v>
                </c:pt>
                <c:pt idx="13">
                  <c:v>Educational services; private</c:v>
                </c:pt>
                <c:pt idx="14">
                  <c:v>Arts, Entertainment, and Recreation</c:v>
                </c:pt>
                <c:pt idx="15">
                  <c:v>Mining</c:v>
                </c:pt>
                <c:pt idx="16">
                  <c:v>Forestry, Fishing, and Related</c:v>
                </c:pt>
                <c:pt idx="17">
                  <c:v>Utilities</c:v>
                </c:pt>
                <c:pt idx="18">
                  <c:v>Manufacturing</c:v>
                </c:pt>
              </c:strCache>
            </c:strRef>
          </c:cat>
          <c:val>
            <c:numRef>
              <c:f>'[Sector emp and LFPR_1990-2050_MPO_S16 TARP_MA.xlsx]Sheet1'!$C$39:$C$57</c:f>
              <c:numCache>
                <c:formatCode>_(* #,##0_);_(* \(#,##0\);_(* "-"??_);_(@_)</c:formatCode>
                <c:ptCount val="19"/>
                <c:pt idx="0">
                  <c:v>216756</c:v>
                </c:pt>
                <c:pt idx="1">
                  <c:v>183288</c:v>
                </c:pt>
                <c:pt idx="2">
                  <c:v>69224</c:v>
                </c:pt>
                <c:pt idx="3">
                  <c:v>222590</c:v>
                </c:pt>
                <c:pt idx="4">
                  <c:v>127131</c:v>
                </c:pt>
                <c:pt idx="5">
                  <c:v>85451</c:v>
                </c:pt>
                <c:pt idx="6">
                  <c:v>44010</c:v>
                </c:pt>
                <c:pt idx="7">
                  <c:v>140657</c:v>
                </c:pt>
                <c:pt idx="8">
                  <c:v>31884</c:v>
                </c:pt>
                <c:pt idx="9">
                  <c:v>121942</c:v>
                </c:pt>
                <c:pt idx="10">
                  <c:v>103835</c:v>
                </c:pt>
                <c:pt idx="11">
                  <c:v>77341</c:v>
                </c:pt>
                <c:pt idx="12">
                  <c:v>13788</c:v>
                </c:pt>
                <c:pt idx="13">
                  <c:v>63877</c:v>
                </c:pt>
                <c:pt idx="14">
                  <c:v>46411</c:v>
                </c:pt>
                <c:pt idx="15">
                  <c:v>1643</c:v>
                </c:pt>
                <c:pt idx="16">
                  <c:v>550</c:v>
                </c:pt>
                <c:pt idx="17">
                  <c:v>1087</c:v>
                </c:pt>
                <c:pt idx="18">
                  <c:v>-15478</c:v>
                </c:pt>
              </c:numCache>
            </c:numRef>
          </c:val>
          <c:extLst>
            <c:ext xmlns:c16="http://schemas.microsoft.com/office/drawing/2014/chart" uri="{C3380CC4-5D6E-409C-BE32-E72D297353CC}">
              <c16:uniqueId val="{00000001-DAA8-4525-BC4D-0DE26D97EB3A}"/>
            </c:ext>
          </c:extLst>
        </c:ser>
        <c:ser>
          <c:idx val="2"/>
          <c:order val="2"/>
          <c:tx>
            <c:strRef>
              <c:f>'[Sector emp and LFPR_1990-2050_MPO_S16 TARP_MA.xlsx]Sheet1'!$D$38</c:f>
              <c:strCache>
                <c:ptCount val="1"/>
                <c:pt idx="0">
                  <c:v>Change, 2015-2050</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invertIfNegative val="0"/>
          <c:cat>
            <c:strRef>
              <c:f>'[Sector emp and LFPR_1990-2050_MPO_S16 TARP_MA.xlsx]Sheet1'!$A$39:$A$57</c:f>
              <c:strCache>
                <c:ptCount val="19"/>
                <c:pt idx="0">
                  <c:v>Health Care and Social Assistance</c:v>
                </c:pt>
                <c:pt idx="1">
                  <c:v>Professional, Scientific, and Technical</c:v>
                </c:pt>
                <c:pt idx="2">
                  <c:v>Construction</c:v>
                </c:pt>
                <c:pt idx="3">
                  <c:v>Admin and Waste Management</c:v>
                </c:pt>
                <c:pt idx="4">
                  <c:v>Retail Trade</c:v>
                </c:pt>
                <c:pt idx="5">
                  <c:v>Finance and Insurance</c:v>
                </c:pt>
                <c:pt idx="6">
                  <c:v>Wholesale Trade</c:v>
                </c:pt>
                <c:pt idx="7">
                  <c:v>Accommodation and Food Services</c:v>
                </c:pt>
                <c:pt idx="8">
                  <c:v>Information</c:v>
                </c:pt>
                <c:pt idx="9">
                  <c:v>Other Services, except Public Admin</c:v>
                </c:pt>
                <c:pt idx="10">
                  <c:v>Real Estate and Rental and Leasing</c:v>
                </c:pt>
                <c:pt idx="11">
                  <c:v>Transportation and Warehousing</c:v>
                </c:pt>
                <c:pt idx="12">
                  <c:v>Management of Companies</c:v>
                </c:pt>
                <c:pt idx="13">
                  <c:v>Educational services; private</c:v>
                </c:pt>
                <c:pt idx="14">
                  <c:v>Arts, Entertainment, and Recreation</c:v>
                </c:pt>
                <c:pt idx="15">
                  <c:v>Mining</c:v>
                </c:pt>
                <c:pt idx="16">
                  <c:v>Forestry, Fishing, and Related</c:v>
                </c:pt>
                <c:pt idx="17">
                  <c:v>Utilities</c:v>
                </c:pt>
                <c:pt idx="18">
                  <c:v>Manufacturing</c:v>
                </c:pt>
              </c:strCache>
            </c:strRef>
          </c:cat>
          <c:val>
            <c:numRef>
              <c:f>'[Sector emp and LFPR_1990-2050_MPO_S16 TARP_MA.xlsx]Sheet1'!$D$39:$D$57</c:f>
              <c:numCache>
                <c:formatCode>_(* #,##0_);_(* \(#,##0\);_(* "-"??_);_(@_)</c:formatCode>
                <c:ptCount val="19"/>
                <c:pt idx="0">
                  <c:v>238156</c:v>
                </c:pt>
                <c:pt idx="1">
                  <c:v>167364</c:v>
                </c:pt>
                <c:pt idx="2">
                  <c:v>130541</c:v>
                </c:pt>
                <c:pt idx="3">
                  <c:v>123713</c:v>
                </c:pt>
                <c:pt idx="4">
                  <c:v>119790</c:v>
                </c:pt>
                <c:pt idx="5">
                  <c:v>82541</c:v>
                </c:pt>
                <c:pt idx="6">
                  <c:v>62828</c:v>
                </c:pt>
                <c:pt idx="7">
                  <c:v>48686</c:v>
                </c:pt>
                <c:pt idx="8">
                  <c:v>40389</c:v>
                </c:pt>
                <c:pt idx="9">
                  <c:v>30929</c:v>
                </c:pt>
                <c:pt idx="10">
                  <c:v>25891</c:v>
                </c:pt>
                <c:pt idx="11">
                  <c:v>23184</c:v>
                </c:pt>
                <c:pt idx="12">
                  <c:v>14428</c:v>
                </c:pt>
                <c:pt idx="13">
                  <c:v>14083</c:v>
                </c:pt>
                <c:pt idx="14">
                  <c:v>12163</c:v>
                </c:pt>
                <c:pt idx="15">
                  <c:v>1124</c:v>
                </c:pt>
                <c:pt idx="16">
                  <c:v>809</c:v>
                </c:pt>
                <c:pt idx="17">
                  <c:v>-8269</c:v>
                </c:pt>
                <c:pt idx="18">
                  <c:v>-18709</c:v>
                </c:pt>
              </c:numCache>
            </c:numRef>
          </c:val>
          <c:extLst>
            <c:ext xmlns:c16="http://schemas.microsoft.com/office/drawing/2014/chart" uri="{C3380CC4-5D6E-409C-BE32-E72D297353CC}">
              <c16:uniqueId val="{00000002-DAA8-4525-BC4D-0DE26D97EB3A}"/>
            </c:ext>
          </c:extLst>
        </c:ser>
        <c:dLbls>
          <c:showLegendKey val="0"/>
          <c:showVal val="0"/>
          <c:showCatName val="0"/>
          <c:showSerName val="0"/>
          <c:showPercent val="0"/>
          <c:showBubbleSize val="0"/>
        </c:dLbls>
        <c:gapWidth val="150"/>
        <c:overlap val="100"/>
        <c:axId val="1252137536"/>
        <c:axId val="1268107728"/>
      </c:barChart>
      <c:catAx>
        <c:axId val="1252137536"/>
        <c:scaling>
          <c:orientation val="maxMin"/>
        </c:scaling>
        <c:delete val="0"/>
        <c:axPos val="l"/>
        <c:numFmt formatCode="General" sourceLinked="1"/>
        <c:majorTickMark val="none"/>
        <c:minorTickMark val="none"/>
        <c:tickLblPos val="low"/>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1268107728"/>
        <c:crosses val="autoZero"/>
        <c:auto val="1"/>
        <c:lblAlgn val="ctr"/>
        <c:lblOffset val="100"/>
        <c:noMultiLvlLbl val="0"/>
      </c:catAx>
      <c:valAx>
        <c:axId val="1268107728"/>
        <c:scaling>
          <c:orientation val="minMax"/>
        </c:scaling>
        <c:delete val="0"/>
        <c:axPos val="t"/>
        <c:majorGridlines>
          <c:spPr>
            <a:ln w="9525" cap="flat" cmpd="sng" algn="ctr">
              <a:solidFill>
                <a:schemeClr val="tx2">
                  <a:lumMod val="15000"/>
                  <a:lumOff val="85000"/>
                </a:schemeClr>
              </a:solidFill>
              <a:round/>
            </a:ln>
            <a:effectLst/>
          </c:spPr>
        </c:majorGridlines>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1252137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0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55933-722C-4340-9DBB-01757724E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3958</Words>
  <Characters>22564</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SLewandowski@atlantaregional.org</dc:creator>
  <cp:keywords/>
  <dc:description/>
  <cp:lastModifiedBy>Grodzinsky, Gil</cp:lastModifiedBy>
  <cp:revision>2</cp:revision>
  <cp:lastPrinted>2019-08-09T12:37:00Z</cp:lastPrinted>
  <dcterms:created xsi:type="dcterms:W3CDTF">2023-10-17T14:10:00Z</dcterms:created>
  <dcterms:modified xsi:type="dcterms:W3CDTF">2023-10-17T14:10:00Z</dcterms:modified>
</cp:coreProperties>
</file>