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985A" w14:textId="77777777" w:rsidR="00F44CEE" w:rsidRPr="007F77FC" w:rsidRDefault="00F44CEE" w:rsidP="00F44CEE">
      <w:pPr>
        <w:pStyle w:val="Heading5"/>
        <w:ind w:left="0" w:firstLine="0"/>
        <w:rPr>
          <w:b/>
          <w:bCs/>
          <w:sz w:val="22"/>
          <w:szCs w:val="22"/>
        </w:rPr>
      </w:pPr>
      <w:r>
        <w:rPr>
          <w:b/>
          <w:bCs/>
          <w:sz w:val="22"/>
          <w:szCs w:val="22"/>
        </w:rPr>
        <w:t xml:space="preserve">  </w:t>
      </w:r>
      <w:r w:rsidRPr="007F77FC">
        <w:rPr>
          <w:b/>
          <w:bCs/>
          <w:sz w:val="22"/>
          <w:szCs w:val="22"/>
        </w:rPr>
        <w:t>CATEGORICAL EXCLUSION DETERMINATION</w:t>
      </w:r>
    </w:p>
    <w:p w14:paraId="558D6B8B" w14:textId="77777777" w:rsidR="00F44CEE" w:rsidRPr="005A427E" w:rsidRDefault="00F44CEE" w:rsidP="00F44CEE">
      <w:pPr>
        <w:jc w:val="center"/>
        <w:rPr>
          <w:sz w:val="22"/>
          <w:szCs w:val="22"/>
        </w:rPr>
      </w:pPr>
      <w:r w:rsidRPr="005A427E">
        <w:rPr>
          <w:sz w:val="22"/>
          <w:szCs w:val="22"/>
        </w:rPr>
        <w:t>Existing Lead and Copper Service Line Inventory</w:t>
      </w:r>
    </w:p>
    <w:p w14:paraId="2D638BD7" w14:textId="1EEDCE99" w:rsidR="00F44CEE" w:rsidRPr="007F77FC" w:rsidRDefault="00F44CEE" w:rsidP="00F44CEE">
      <w:pPr>
        <w:jc w:val="center"/>
        <w:rPr>
          <w:sz w:val="22"/>
          <w:szCs w:val="22"/>
        </w:rPr>
      </w:pPr>
      <w:r w:rsidRPr="007F77FC">
        <w:rPr>
          <w:sz w:val="22"/>
          <w:szCs w:val="22"/>
        </w:rPr>
        <w:t xml:space="preserve">City of </w:t>
      </w:r>
      <w:r>
        <w:rPr>
          <w:sz w:val="22"/>
          <w:szCs w:val="22"/>
        </w:rPr>
        <w:t>Camak</w:t>
      </w:r>
    </w:p>
    <w:p w14:paraId="5EF87080" w14:textId="6EEB5520" w:rsidR="00F44CEE" w:rsidRDefault="00F44CEE" w:rsidP="00F44CEE">
      <w:pPr>
        <w:jc w:val="center"/>
        <w:rPr>
          <w:sz w:val="22"/>
          <w:szCs w:val="22"/>
        </w:rPr>
      </w:pPr>
      <w:r>
        <w:rPr>
          <w:sz w:val="22"/>
          <w:szCs w:val="22"/>
        </w:rPr>
        <w:t>Warren</w:t>
      </w:r>
      <w:r w:rsidRPr="007F77FC">
        <w:rPr>
          <w:sz w:val="22"/>
          <w:szCs w:val="22"/>
        </w:rPr>
        <w:t xml:space="preserve"> County, Georgia</w:t>
      </w:r>
    </w:p>
    <w:p w14:paraId="7C00BD95" w14:textId="01FA5C3C" w:rsidR="00F44CEE" w:rsidRDefault="00F44CEE" w:rsidP="00F44CEE">
      <w:pPr>
        <w:jc w:val="center"/>
        <w:rPr>
          <w:sz w:val="22"/>
          <w:szCs w:val="22"/>
        </w:rPr>
      </w:pPr>
      <w:r>
        <w:rPr>
          <w:sz w:val="22"/>
          <w:szCs w:val="22"/>
        </w:rPr>
        <w:t>WSID# 3010000</w:t>
      </w:r>
    </w:p>
    <w:p w14:paraId="4375EA3A" w14:textId="0B7BDE36" w:rsidR="00F44CEE" w:rsidRPr="009A48A8" w:rsidRDefault="00F44CEE" w:rsidP="00F44CEE">
      <w:pPr>
        <w:jc w:val="center"/>
        <w:rPr>
          <w:sz w:val="22"/>
          <w:szCs w:val="22"/>
        </w:rPr>
      </w:pPr>
      <w:r>
        <w:rPr>
          <w:sz w:val="22"/>
          <w:szCs w:val="22"/>
        </w:rPr>
        <w:t>DWLSL2023027</w:t>
      </w:r>
    </w:p>
    <w:p w14:paraId="1DA77888" w14:textId="77777777" w:rsidR="00F44CEE" w:rsidRPr="007F77FC" w:rsidRDefault="00F44CEE" w:rsidP="00F44CEE">
      <w:pPr>
        <w:rPr>
          <w:sz w:val="22"/>
          <w:szCs w:val="22"/>
        </w:rPr>
      </w:pPr>
    </w:p>
    <w:p w14:paraId="3CC7BB7E" w14:textId="77777777" w:rsidR="00F44CEE" w:rsidRPr="00426128" w:rsidRDefault="00F44CEE" w:rsidP="00F44CEE">
      <w:pPr>
        <w:pStyle w:val="BodyText"/>
        <w:rPr>
          <w:rFonts w:ascii="Times New Roman" w:hAnsi="Times New Roman" w:cs="Times New Roman"/>
          <w:sz w:val="22"/>
        </w:rPr>
      </w:pPr>
      <w:r w:rsidRPr="007F77FC">
        <w:rPr>
          <w:rFonts w:ascii="Times New Roman" w:hAnsi="Times New Roman" w:cs="Times New Roman"/>
          <w:sz w:val="22"/>
        </w:rPr>
        <w:t xml:space="preserve">The Georgia Environmental Protection Division (EPD) has conducted a review of the above subject project in accordance with the State’s Environmental Review Process (SERP) for Drinking Water State Revolving Fund (DWSRF) projects.  The EPD has determined that this project is eligible for a categorical exclusion.  Accordingly, the EPD is exempting the project from further substantive environmental review requirements </w:t>
      </w:r>
      <w:r w:rsidRPr="00426128">
        <w:rPr>
          <w:rFonts w:ascii="Times New Roman" w:hAnsi="Times New Roman" w:cs="Times New Roman"/>
          <w:sz w:val="22"/>
        </w:rPr>
        <w:t>under Georgia’s SERP.</w:t>
      </w:r>
    </w:p>
    <w:p w14:paraId="5570B28E" w14:textId="77777777" w:rsidR="00F44CEE" w:rsidRPr="00426128" w:rsidRDefault="00F44CEE" w:rsidP="00F44CEE">
      <w:pPr>
        <w:jc w:val="both"/>
        <w:rPr>
          <w:sz w:val="22"/>
          <w:szCs w:val="22"/>
        </w:rPr>
      </w:pPr>
    </w:p>
    <w:p w14:paraId="5F7ECCFF" w14:textId="4E0EBBD0" w:rsidR="00F44CEE" w:rsidRPr="005A427E" w:rsidRDefault="00F44CEE" w:rsidP="00F44CEE">
      <w:pPr>
        <w:rPr>
          <w:sz w:val="22"/>
          <w:szCs w:val="22"/>
        </w:rPr>
      </w:pPr>
      <w:r w:rsidRPr="005A427E">
        <w:rPr>
          <w:sz w:val="22"/>
          <w:szCs w:val="22"/>
        </w:rPr>
        <w:t xml:space="preserve">The proposed project involves inventory of all lead service lines within the served areas of </w:t>
      </w:r>
      <w:r>
        <w:rPr>
          <w:sz w:val="22"/>
          <w:szCs w:val="22"/>
        </w:rPr>
        <w:t>Camak.</w:t>
      </w:r>
      <w:r w:rsidRPr="005A427E">
        <w:rPr>
          <w:sz w:val="22"/>
          <w:szCs w:val="22"/>
        </w:rPr>
        <w:t xml:space="preserve"> The proposed project indicates that there are no changes to environmental resources. </w:t>
      </w:r>
    </w:p>
    <w:p w14:paraId="1E8B438E" w14:textId="77777777" w:rsidR="00F44CEE" w:rsidRPr="007F77FC" w:rsidRDefault="00F44CEE" w:rsidP="00F44CEE">
      <w:pPr>
        <w:pStyle w:val="BodyText2"/>
        <w:rPr>
          <w:rFonts w:ascii="Times New Roman" w:hAnsi="Times New Roman" w:cs="Times New Roman"/>
          <w:sz w:val="22"/>
          <w:szCs w:val="22"/>
        </w:rPr>
      </w:pPr>
    </w:p>
    <w:p w14:paraId="5FAB6E28" w14:textId="77777777" w:rsidR="00F44CEE" w:rsidRPr="005A427E" w:rsidRDefault="00F44CEE" w:rsidP="00F44CEE">
      <w:pPr>
        <w:pStyle w:val="BodyTextIndent"/>
        <w:rPr>
          <w:rFonts w:ascii="Times New Roman" w:hAnsi="Times New Roman" w:cs="Times New Roman"/>
          <w:sz w:val="22"/>
          <w:szCs w:val="22"/>
        </w:rPr>
      </w:pPr>
      <w:r w:rsidRPr="005A427E">
        <w:rPr>
          <w:rFonts w:ascii="Times New Roman" w:hAnsi="Times New Roman" w:cs="Times New Roman"/>
          <w:sz w:val="22"/>
          <w:szCs w:val="22"/>
        </w:rPr>
        <w:t xml:space="preserve">This project is eligible for a Categorical Exclusion because it meets the following specific criteria, outlined in the DWSRF SERP: Replacement of existing water lines, valves, hydrants and appurtenances in existing rights of-way for streets or utilities to serve existing customers, </w:t>
      </w:r>
      <w:proofErr w:type="gramStart"/>
      <w:r w:rsidRPr="005A427E">
        <w:rPr>
          <w:rFonts w:ascii="Times New Roman" w:hAnsi="Times New Roman" w:cs="Times New Roman"/>
          <w:sz w:val="22"/>
          <w:szCs w:val="22"/>
        </w:rPr>
        <w:t>as well as,</w:t>
      </w:r>
      <w:proofErr w:type="gramEnd"/>
      <w:r w:rsidRPr="005A427E">
        <w:rPr>
          <w:rFonts w:ascii="Times New Roman" w:hAnsi="Times New Roman" w:cs="Times New Roman"/>
          <w:sz w:val="22"/>
          <w:szCs w:val="22"/>
        </w:rPr>
        <w:t xml:space="preserve"> modest growth (less than 10%) within the existing service area resulting in no change in existing land use; Furthermore:</w:t>
      </w:r>
    </w:p>
    <w:p w14:paraId="4EADF0FD" w14:textId="77777777" w:rsidR="00F44CEE" w:rsidRPr="005A427E" w:rsidRDefault="00F44CEE" w:rsidP="00F44CEE">
      <w:pPr>
        <w:pStyle w:val="BodyTextIndent"/>
        <w:rPr>
          <w:rFonts w:ascii="Times New Roman" w:hAnsi="Times New Roman" w:cs="Times New Roman"/>
          <w:sz w:val="22"/>
          <w:szCs w:val="22"/>
        </w:rPr>
      </w:pPr>
    </w:p>
    <w:p w14:paraId="0202E870" w14:textId="77777777" w:rsidR="00F44CEE" w:rsidRPr="005A427E" w:rsidRDefault="00F44CEE" w:rsidP="00F44CEE">
      <w:pPr>
        <w:pStyle w:val="a"/>
        <w:numPr>
          <w:ilvl w:val="0"/>
          <w:numId w:val="1"/>
        </w:numPr>
        <w:tabs>
          <w:tab w:val="left" w:pos="-1440"/>
        </w:tabs>
        <w:jc w:val="both"/>
        <w:rPr>
          <w:sz w:val="22"/>
          <w:szCs w:val="22"/>
        </w:rPr>
      </w:pPr>
      <w:r w:rsidRPr="005A427E">
        <w:rPr>
          <w:sz w:val="22"/>
          <w:szCs w:val="22"/>
        </w:rPr>
        <w:t xml:space="preserve">The project will not require issuance of a new or modification of an existing ground water or surface water withdrawal </w:t>
      </w:r>
      <w:proofErr w:type="gramStart"/>
      <w:r w:rsidRPr="005A427E">
        <w:rPr>
          <w:sz w:val="22"/>
          <w:szCs w:val="22"/>
        </w:rPr>
        <w:t>permit;</w:t>
      </w:r>
      <w:proofErr w:type="gramEnd"/>
    </w:p>
    <w:p w14:paraId="449BD1F3" w14:textId="77777777" w:rsidR="00F44CEE" w:rsidRPr="005A427E" w:rsidRDefault="00F44CEE" w:rsidP="00F44CEE">
      <w:pPr>
        <w:pStyle w:val="a"/>
        <w:numPr>
          <w:ilvl w:val="0"/>
          <w:numId w:val="1"/>
        </w:numPr>
        <w:tabs>
          <w:tab w:val="left" w:pos="-1440"/>
        </w:tabs>
        <w:jc w:val="both"/>
        <w:rPr>
          <w:sz w:val="22"/>
          <w:szCs w:val="22"/>
        </w:rPr>
      </w:pPr>
      <w:r w:rsidRPr="005A427E">
        <w:rPr>
          <w:sz w:val="22"/>
          <w:szCs w:val="22"/>
        </w:rPr>
        <w:t xml:space="preserve">The project is not known or expected to have a significant adverse effect on the quality of the human environment, either individually, cumulatively over time, or in conjunction with other Federal, State, local or private </w:t>
      </w:r>
      <w:proofErr w:type="gramStart"/>
      <w:r w:rsidRPr="005A427E">
        <w:rPr>
          <w:sz w:val="22"/>
          <w:szCs w:val="22"/>
        </w:rPr>
        <w:t>actions;</w:t>
      </w:r>
      <w:proofErr w:type="gramEnd"/>
    </w:p>
    <w:p w14:paraId="28D23923" w14:textId="77777777" w:rsidR="00F44CEE" w:rsidRPr="005A427E" w:rsidRDefault="00F44CEE" w:rsidP="00F44CEE">
      <w:pPr>
        <w:pStyle w:val="a"/>
        <w:numPr>
          <w:ilvl w:val="0"/>
          <w:numId w:val="1"/>
        </w:numPr>
        <w:tabs>
          <w:tab w:val="left" w:pos="-1440"/>
        </w:tabs>
        <w:jc w:val="both"/>
        <w:rPr>
          <w:sz w:val="22"/>
          <w:szCs w:val="22"/>
        </w:rPr>
      </w:pPr>
      <w:r w:rsidRPr="005A427E">
        <w:rPr>
          <w:sz w:val="22"/>
          <w:szCs w:val="22"/>
        </w:rPr>
        <w:t xml:space="preserve">The project is not known or expected to directly or indirectly have a significant adverse effect </w:t>
      </w:r>
      <w:proofErr w:type="gramStart"/>
      <w:r w:rsidRPr="005A427E">
        <w:rPr>
          <w:sz w:val="22"/>
          <w:szCs w:val="22"/>
        </w:rPr>
        <w:t>on:</w:t>
      </w:r>
      <w:proofErr w:type="gramEnd"/>
      <w:r w:rsidRPr="005A427E">
        <w:rPr>
          <w:sz w:val="22"/>
          <w:szCs w:val="22"/>
        </w:rPr>
        <w:t xml:space="preserve"> or threatened species; or environmentally important natural resource areas, such as floodplains, wetlands, important farmlands or aquifer recharge areas; and cultural resource areas, such as archaeological and historic sites; habitats of endangered species;</w:t>
      </w:r>
    </w:p>
    <w:p w14:paraId="23E6C6BD" w14:textId="77777777" w:rsidR="00F44CEE" w:rsidRPr="005A427E" w:rsidRDefault="00F44CEE" w:rsidP="00F44CEE">
      <w:pPr>
        <w:pStyle w:val="a"/>
        <w:numPr>
          <w:ilvl w:val="0"/>
          <w:numId w:val="1"/>
        </w:numPr>
        <w:tabs>
          <w:tab w:val="left" w:pos="-1440"/>
        </w:tabs>
        <w:jc w:val="both"/>
        <w:rPr>
          <w:sz w:val="22"/>
          <w:szCs w:val="22"/>
        </w:rPr>
      </w:pPr>
      <w:r w:rsidRPr="005A427E">
        <w:rPr>
          <w:sz w:val="22"/>
          <w:szCs w:val="22"/>
        </w:rPr>
        <w:t>The action is cost-effective and is not expected to cause significant public controversy.</w:t>
      </w:r>
    </w:p>
    <w:p w14:paraId="6762FE06" w14:textId="77777777" w:rsidR="00F44CEE" w:rsidRPr="005A427E" w:rsidRDefault="00F44CEE" w:rsidP="00F44CEE">
      <w:pPr>
        <w:jc w:val="both"/>
        <w:rPr>
          <w:sz w:val="22"/>
          <w:szCs w:val="22"/>
        </w:rPr>
      </w:pPr>
    </w:p>
    <w:p w14:paraId="5BB82350" w14:textId="54BDED4A" w:rsidR="00F44CEE" w:rsidRPr="005A427E" w:rsidRDefault="00F44CEE" w:rsidP="00F44CEE">
      <w:pPr>
        <w:jc w:val="both"/>
        <w:rPr>
          <w:sz w:val="22"/>
          <w:szCs w:val="22"/>
        </w:rPr>
      </w:pPr>
      <w:r w:rsidRPr="005A427E">
        <w:rPr>
          <w:sz w:val="22"/>
          <w:szCs w:val="22"/>
        </w:rPr>
        <w:t xml:space="preserve">The documentation to support this decision is on file with the Georgia Environmental Protection Division and is available for public scrutiny upon request.  A copy of the proposed project documentation is also available for review at the City Hall in </w:t>
      </w:r>
      <w:r>
        <w:rPr>
          <w:sz w:val="22"/>
          <w:szCs w:val="22"/>
        </w:rPr>
        <w:t>Camak</w:t>
      </w:r>
      <w:r w:rsidRPr="005A427E">
        <w:rPr>
          <w:sz w:val="22"/>
          <w:szCs w:val="22"/>
        </w:rPr>
        <w:t>, Georgia.</w:t>
      </w:r>
    </w:p>
    <w:p w14:paraId="422FACEC" w14:textId="77777777" w:rsidR="00F44CEE" w:rsidRPr="005A427E" w:rsidRDefault="00F44CEE" w:rsidP="00F44CEE">
      <w:pPr>
        <w:jc w:val="both"/>
        <w:rPr>
          <w:sz w:val="22"/>
          <w:szCs w:val="22"/>
        </w:rPr>
      </w:pPr>
    </w:p>
    <w:p w14:paraId="3A09B30D" w14:textId="77777777" w:rsidR="00F44CEE" w:rsidRPr="005A427E" w:rsidRDefault="00F44CEE" w:rsidP="00F44CEE">
      <w:pPr>
        <w:pStyle w:val="BodyText"/>
        <w:rPr>
          <w:rFonts w:ascii="Times New Roman" w:hAnsi="Times New Roman" w:cs="Times New Roman"/>
          <w:sz w:val="22"/>
        </w:rPr>
      </w:pPr>
      <w:r w:rsidRPr="005A427E">
        <w:rPr>
          <w:rFonts w:ascii="Times New Roman" w:hAnsi="Times New Roman" w:cs="Times New Roman"/>
          <w:sz w:val="22"/>
        </w:rPr>
        <w:t>All interested agencies, groups and persons supporting or disagreeing with this decision are invited to submit written comments, within thirty (30) days of the publish date of this notice to:</w:t>
      </w:r>
    </w:p>
    <w:p w14:paraId="2126C0FB"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p>
    <w:p w14:paraId="66C62D0E"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Georgia Environmental Protection Division</w:t>
      </w:r>
    </w:p>
    <w:p w14:paraId="5BBB640D"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ATTN: Johann Phan, Environmental Engineer</w:t>
      </w:r>
    </w:p>
    <w:p w14:paraId="3EFA2B21"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Drinking Water Program</w:t>
      </w:r>
    </w:p>
    <w:p w14:paraId="1E5553C0"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2 Martin Luther King, Jr. Drive, SE, Suite 1052 East</w:t>
      </w:r>
    </w:p>
    <w:p w14:paraId="4A7AC085"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Atlanta, Georgia 30334-9000</w:t>
      </w:r>
    </w:p>
    <w:p w14:paraId="62388B00" w14:textId="77777777" w:rsidR="00F44CEE" w:rsidRPr="005A427E" w:rsidRDefault="00F44CEE" w:rsidP="00F44CEE">
      <w:pPr>
        <w:tabs>
          <w:tab w:val="left" w:pos="-1008"/>
          <w:tab w:val="left" w:pos="-288"/>
          <w:tab w:val="left" w:pos="432"/>
          <w:tab w:val="left" w:pos="1152"/>
          <w:tab w:val="left" w:pos="1872"/>
          <w:tab w:val="left" w:pos="5472"/>
          <w:tab w:val="left" w:pos="6192"/>
        </w:tabs>
        <w:ind w:left="432" w:right="432"/>
        <w:jc w:val="both"/>
        <w:rPr>
          <w:sz w:val="22"/>
          <w:szCs w:val="22"/>
        </w:rPr>
      </w:pPr>
    </w:p>
    <w:p w14:paraId="2E39734A" w14:textId="77777777" w:rsidR="00F44CEE" w:rsidRPr="005A427E" w:rsidRDefault="00F44CEE" w:rsidP="00F44CEE">
      <w:pPr>
        <w:tabs>
          <w:tab w:val="left" w:pos="-1008"/>
          <w:tab w:val="left" w:pos="-288"/>
          <w:tab w:val="left" w:pos="432"/>
          <w:tab w:val="left" w:pos="1152"/>
          <w:tab w:val="left" w:pos="1872"/>
          <w:tab w:val="left" w:pos="5472"/>
          <w:tab w:val="left" w:pos="6192"/>
        </w:tabs>
        <w:ind w:right="432"/>
        <w:jc w:val="both"/>
        <w:rPr>
          <w:sz w:val="22"/>
          <w:szCs w:val="22"/>
        </w:rPr>
      </w:pPr>
      <w:r w:rsidRPr="005A427E">
        <w:rPr>
          <w:sz w:val="22"/>
          <w:szCs w:val="22"/>
        </w:rPr>
        <w:t xml:space="preserve">After evaluating the comments received, EPD will make a final decision regarding approval of the project planning documents.  </w:t>
      </w:r>
    </w:p>
    <w:p w14:paraId="6D08B41F" w14:textId="3CC420B4" w:rsidR="00F44CEE" w:rsidRPr="005A427E" w:rsidRDefault="00AE3F41" w:rsidP="00AE3F41">
      <w:pPr>
        <w:tabs>
          <w:tab w:val="left" w:pos="-1008"/>
          <w:tab w:val="left" w:pos="-288"/>
          <w:tab w:val="left" w:pos="432"/>
          <w:tab w:val="left" w:pos="1152"/>
          <w:tab w:val="left" w:pos="1872"/>
          <w:tab w:val="left" w:pos="4320"/>
          <w:tab w:val="left" w:pos="4770"/>
          <w:tab w:val="left" w:pos="5040"/>
          <w:tab w:val="left" w:pos="5472"/>
          <w:tab w:val="left" w:pos="6192"/>
        </w:tabs>
        <w:ind w:right="432"/>
        <w:jc w:val="both"/>
        <w:rPr>
          <w:sz w:val="22"/>
          <w:szCs w:val="22"/>
        </w:rPr>
      </w:pPr>
      <w:r>
        <w:rPr>
          <w:sz w:val="22"/>
          <w:szCs w:val="22"/>
        </w:rPr>
        <w:tab/>
      </w:r>
      <w:r>
        <w:rPr>
          <w:sz w:val="22"/>
          <w:szCs w:val="22"/>
        </w:rPr>
        <w:tab/>
      </w:r>
      <w:r>
        <w:rPr>
          <w:sz w:val="22"/>
          <w:szCs w:val="22"/>
        </w:rPr>
        <w:tab/>
      </w:r>
      <w:r>
        <w:rPr>
          <w:sz w:val="22"/>
          <w:szCs w:val="22"/>
        </w:rPr>
        <w:tab/>
      </w:r>
      <w:r>
        <w:rPr>
          <w:noProof/>
        </w:rPr>
        <w:drawing>
          <wp:inline distT="0" distB="0" distL="0" distR="0" wp14:anchorId="4B276F42" wp14:editId="42E416F6">
            <wp:extent cx="1390650" cy="390525"/>
            <wp:effectExtent l="0" t="0" r="0" b="9525"/>
            <wp:docPr id="27887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74428"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90650" cy="390525"/>
                    </a:xfrm>
                    <a:prstGeom prst="rect">
                      <a:avLst/>
                    </a:prstGeom>
                  </pic:spPr>
                </pic:pic>
              </a:graphicData>
            </a:graphic>
          </wp:inline>
        </w:drawing>
      </w:r>
    </w:p>
    <w:p w14:paraId="01F30C17" w14:textId="3D1EA7A2" w:rsidR="00F44CEE" w:rsidRPr="005A427E" w:rsidRDefault="00F44CEE" w:rsidP="00F44CEE">
      <w:pPr>
        <w:tabs>
          <w:tab w:val="left" w:pos="-1008"/>
          <w:tab w:val="left" w:pos="-288"/>
          <w:tab w:val="left" w:pos="0"/>
          <w:tab w:val="left" w:pos="1152"/>
          <w:tab w:val="left" w:pos="1872"/>
          <w:tab w:val="left" w:pos="4590"/>
          <w:tab w:val="left" w:pos="5472"/>
          <w:tab w:val="left" w:pos="6192"/>
        </w:tabs>
        <w:ind w:right="432"/>
        <w:jc w:val="both"/>
        <w:rPr>
          <w:sz w:val="22"/>
          <w:szCs w:val="22"/>
        </w:rPr>
      </w:pPr>
      <w:r w:rsidRPr="005A427E">
        <w:rPr>
          <w:sz w:val="22"/>
          <w:szCs w:val="22"/>
        </w:rPr>
        <w:t>Publish Date:</w:t>
      </w:r>
      <w:r w:rsidRPr="005A427E">
        <w:rPr>
          <w:sz w:val="22"/>
          <w:szCs w:val="22"/>
        </w:rPr>
        <w:softHyphen/>
      </w:r>
      <w:r w:rsidRPr="005A427E">
        <w:rPr>
          <w:sz w:val="22"/>
          <w:szCs w:val="22"/>
        </w:rPr>
        <w:softHyphen/>
      </w:r>
      <w:r w:rsidRPr="005A427E">
        <w:rPr>
          <w:sz w:val="22"/>
          <w:szCs w:val="22"/>
        </w:rPr>
        <w:softHyphen/>
      </w:r>
      <w:r w:rsidRPr="005A427E">
        <w:rPr>
          <w:sz w:val="22"/>
          <w:szCs w:val="22"/>
        </w:rPr>
        <w:softHyphen/>
        <w:t>__</w:t>
      </w:r>
      <w:r w:rsidR="00AE3F41" w:rsidRPr="00AE3F41">
        <w:rPr>
          <w:sz w:val="22"/>
          <w:szCs w:val="22"/>
          <w:u w:val="single"/>
        </w:rPr>
        <w:t>7/8/2024</w:t>
      </w:r>
      <w:r w:rsidRPr="00AE3F41">
        <w:rPr>
          <w:sz w:val="22"/>
          <w:szCs w:val="22"/>
          <w:u w:val="single"/>
        </w:rPr>
        <w:t>______</w:t>
      </w:r>
      <w:r w:rsidRPr="005A427E">
        <w:rPr>
          <w:sz w:val="22"/>
          <w:szCs w:val="22"/>
        </w:rPr>
        <w:tab/>
        <w:t>_________________________</w:t>
      </w:r>
    </w:p>
    <w:p w14:paraId="64238786" w14:textId="77777777" w:rsidR="00F44CEE" w:rsidRPr="005A427E" w:rsidRDefault="00F44CEE" w:rsidP="00F44CEE">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Manny Patel, Program Manager</w:t>
      </w:r>
    </w:p>
    <w:p w14:paraId="42131039" w14:textId="77777777" w:rsidR="00F44CEE" w:rsidRPr="005A427E" w:rsidRDefault="00F44CEE" w:rsidP="00F44CEE">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Drinking Water Program</w:t>
      </w:r>
    </w:p>
    <w:p w14:paraId="706244CE" w14:textId="77777777" w:rsidR="00F44CEE" w:rsidRPr="007F77FC" w:rsidRDefault="00F44CEE" w:rsidP="00F44CEE">
      <w:pPr>
        <w:tabs>
          <w:tab w:val="left" w:pos="-1008"/>
          <w:tab w:val="left" w:pos="-288"/>
          <w:tab w:val="left" w:pos="432"/>
          <w:tab w:val="left" w:pos="1152"/>
          <w:tab w:val="left" w:pos="1872"/>
          <w:tab w:val="left" w:pos="4590"/>
          <w:tab w:val="left" w:pos="6192"/>
        </w:tabs>
        <w:ind w:left="432" w:right="432" w:firstLine="18"/>
        <w:jc w:val="both"/>
        <w:rPr>
          <w:sz w:val="22"/>
          <w:szCs w:val="22"/>
        </w:rPr>
      </w:pPr>
      <w:r w:rsidRPr="005A427E">
        <w:rPr>
          <w:sz w:val="22"/>
          <w:szCs w:val="22"/>
        </w:rPr>
        <w:t xml:space="preserve">                       </w:t>
      </w:r>
      <w:r w:rsidRPr="005A427E">
        <w:rPr>
          <w:sz w:val="22"/>
          <w:szCs w:val="22"/>
        </w:rPr>
        <w:tab/>
      </w:r>
      <w:r w:rsidRPr="005A427E">
        <w:rPr>
          <w:sz w:val="22"/>
          <w:szCs w:val="22"/>
        </w:rPr>
        <w:tab/>
        <w:t>Georgia Environmental Protection Division</w:t>
      </w:r>
    </w:p>
    <w:p w14:paraId="04F67479" w14:textId="77777777" w:rsidR="00F44CEE" w:rsidRPr="00117040" w:rsidRDefault="00F44CEE" w:rsidP="00F44CEE">
      <w:pPr>
        <w:pStyle w:val="BodyTextIndent"/>
        <w:rPr>
          <w:sz w:val="22"/>
          <w:szCs w:val="22"/>
        </w:rPr>
      </w:pPr>
    </w:p>
    <w:p w14:paraId="7DDEED24" w14:textId="77777777" w:rsidR="009012AF" w:rsidRDefault="009012AF"/>
    <w:sectPr w:rsidR="009012AF" w:rsidSect="00F44CEE">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1C65"/>
    <w:multiLevelType w:val="hybridMultilevel"/>
    <w:tmpl w:val="EE9EA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44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4CEE"/>
    <w:rsid w:val="007E707F"/>
    <w:rsid w:val="009012AF"/>
    <w:rsid w:val="00AE3F41"/>
    <w:rsid w:val="00F4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373D"/>
  <w15:docId w15:val="{FD4939AD-2257-4313-9DC9-5F851B2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EE"/>
    <w:pPr>
      <w:spacing w:after="0" w:line="240" w:lineRule="auto"/>
    </w:pPr>
    <w:rPr>
      <w:rFonts w:ascii="Times New Roman" w:eastAsia="Times New Roman" w:hAnsi="Times New Roman" w:cs="Times New Roman"/>
      <w:kern w:val="0"/>
      <w:sz w:val="24"/>
      <w:szCs w:val="24"/>
    </w:rPr>
  </w:style>
  <w:style w:type="paragraph" w:styleId="Heading5">
    <w:name w:val="heading 5"/>
    <w:basedOn w:val="Normal"/>
    <w:next w:val="Normal"/>
    <w:link w:val="Heading5Char"/>
    <w:qFormat/>
    <w:rsid w:val="00F44CEE"/>
    <w:pPr>
      <w:keepNext/>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4CEE"/>
    <w:rPr>
      <w:rFonts w:ascii="Times New Roman" w:eastAsia="Times New Roman" w:hAnsi="Times New Roman" w:cs="Times New Roman"/>
      <w:kern w:val="0"/>
      <w:sz w:val="32"/>
      <w:szCs w:val="24"/>
    </w:rPr>
  </w:style>
  <w:style w:type="paragraph" w:customStyle="1" w:styleId="a">
    <w:name w:val="_"/>
    <w:basedOn w:val="Normal"/>
    <w:rsid w:val="00F44CEE"/>
    <w:pPr>
      <w:widowControl w:val="0"/>
      <w:autoSpaceDE w:val="0"/>
      <w:autoSpaceDN w:val="0"/>
      <w:adjustRightInd w:val="0"/>
      <w:ind w:left="720" w:hanging="720"/>
    </w:pPr>
    <w:rPr>
      <w:sz w:val="20"/>
    </w:rPr>
  </w:style>
  <w:style w:type="paragraph" w:styleId="BodyTextIndent">
    <w:name w:val="Body Text Indent"/>
    <w:basedOn w:val="Normal"/>
    <w:link w:val="BodyTextIndentChar"/>
    <w:semiHidden/>
    <w:rsid w:val="00F44CEE"/>
    <w:pPr>
      <w:ind w:left="60"/>
      <w:jc w:val="both"/>
    </w:pPr>
    <w:rPr>
      <w:rFonts w:ascii="Arial" w:hAnsi="Arial" w:cs="Arial"/>
      <w:sz w:val="20"/>
    </w:rPr>
  </w:style>
  <w:style w:type="character" w:customStyle="1" w:styleId="BodyTextIndentChar">
    <w:name w:val="Body Text Indent Char"/>
    <w:basedOn w:val="DefaultParagraphFont"/>
    <w:link w:val="BodyTextIndent"/>
    <w:semiHidden/>
    <w:rsid w:val="00F44CEE"/>
    <w:rPr>
      <w:rFonts w:ascii="Arial" w:eastAsia="Times New Roman" w:hAnsi="Arial" w:cs="Arial"/>
      <w:kern w:val="0"/>
      <w:sz w:val="20"/>
      <w:szCs w:val="24"/>
    </w:rPr>
  </w:style>
  <w:style w:type="paragraph" w:styleId="BodyText">
    <w:name w:val="Body Text"/>
    <w:basedOn w:val="Normal"/>
    <w:link w:val="BodyTextChar"/>
    <w:semiHidden/>
    <w:rsid w:val="00F44CEE"/>
    <w:pPr>
      <w:jc w:val="both"/>
    </w:pPr>
    <w:rPr>
      <w:rFonts w:ascii="Arial" w:hAnsi="Arial" w:cs="Arial"/>
      <w:sz w:val="20"/>
      <w:szCs w:val="22"/>
    </w:rPr>
  </w:style>
  <w:style w:type="character" w:customStyle="1" w:styleId="BodyTextChar">
    <w:name w:val="Body Text Char"/>
    <w:basedOn w:val="DefaultParagraphFont"/>
    <w:link w:val="BodyText"/>
    <w:semiHidden/>
    <w:rsid w:val="00F44CEE"/>
    <w:rPr>
      <w:rFonts w:ascii="Arial" w:eastAsia="Times New Roman" w:hAnsi="Arial" w:cs="Arial"/>
      <w:kern w:val="0"/>
      <w:sz w:val="20"/>
    </w:rPr>
  </w:style>
  <w:style w:type="paragraph" w:styleId="BodyText2">
    <w:name w:val="Body Text 2"/>
    <w:basedOn w:val="Normal"/>
    <w:link w:val="BodyText2Char"/>
    <w:semiHidden/>
    <w:rsid w:val="00F44CEE"/>
    <w:rPr>
      <w:rFonts w:ascii="Arial" w:hAnsi="Arial" w:cs="Arial"/>
      <w:sz w:val="20"/>
    </w:rPr>
  </w:style>
  <w:style w:type="character" w:customStyle="1" w:styleId="BodyText2Char">
    <w:name w:val="Body Text 2 Char"/>
    <w:basedOn w:val="DefaultParagraphFont"/>
    <w:link w:val="BodyText2"/>
    <w:semiHidden/>
    <w:rsid w:val="00F44CEE"/>
    <w:rPr>
      <w:rFonts w:ascii="Arial" w:eastAsia="Times New Roman" w:hAnsi="Arial" w:cs="Arial"/>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2531</Characters>
  <Application>Microsoft Office Word</Application>
  <DocSecurity>0</DocSecurity>
  <Lines>21</Lines>
  <Paragraphs>5</Paragraphs>
  <ScaleCrop>false</ScaleCrop>
  <Company>State of Georgia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Johann</dc:creator>
  <cp:keywords/>
  <dc:description/>
  <cp:lastModifiedBy>Patel, Manny</cp:lastModifiedBy>
  <cp:revision>2</cp:revision>
  <dcterms:created xsi:type="dcterms:W3CDTF">2024-07-08T11:18:00Z</dcterms:created>
  <dcterms:modified xsi:type="dcterms:W3CDTF">2024-07-08T11:18:00Z</dcterms:modified>
</cp:coreProperties>
</file>