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ED5" w:rsidRPr="00771ED5" w:rsidRDefault="00B95445" w:rsidP="00771ED5">
      <w:pPr>
        <w:jc w:val="center"/>
        <w:rPr>
          <w:b/>
          <w:bCs/>
          <w:color w:val="0070C0"/>
          <w:sz w:val="32"/>
          <w:szCs w:val="32"/>
        </w:rPr>
      </w:pPr>
      <w:r w:rsidRPr="00EC3722">
        <w:rPr>
          <w:rFonts w:asciiTheme="minorHAnsi" w:hAnsiTheme="minorHAnsi" w:cstheme="minorHAnsi"/>
          <w:sz w:val="18"/>
          <w:szCs w:val="18"/>
        </w:rPr>
        <w:t xml:space="preserve"> </w:t>
      </w:r>
      <w:r w:rsidR="00771ED5" w:rsidRPr="00771ED5">
        <w:rPr>
          <w:b/>
          <w:bCs/>
          <w:color w:val="0070C0"/>
          <w:sz w:val="32"/>
          <w:szCs w:val="32"/>
        </w:rPr>
        <w:t>TIRE MANAGEMENT FEE</w:t>
      </w:r>
    </w:p>
    <w:p w:rsidR="00771ED5" w:rsidRPr="00771ED5" w:rsidRDefault="00771ED5" w:rsidP="00771ED5">
      <w:pPr>
        <w:jc w:val="center"/>
        <w:rPr>
          <w:b/>
          <w:bCs/>
        </w:rPr>
      </w:pPr>
    </w:p>
    <w:p w:rsidR="00771ED5" w:rsidRPr="00771ED5" w:rsidRDefault="00771ED5" w:rsidP="00771ED5">
      <w:pPr>
        <w:rPr>
          <w:bCs/>
          <w:iCs/>
        </w:rPr>
      </w:pPr>
      <w:r w:rsidRPr="00771ED5">
        <w:rPr>
          <w:bCs/>
          <w:iCs/>
        </w:rPr>
        <w:t>New replacement tires include, but are not limited to, tires for automobiles, trucks, heavy equipment, motorbikes, boat trailers and other trailers, aircraft, and recreational vehicles. Retailers of new tires:</w:t>
      </w:r>
    </w:p>
    <w:p w:rsidR="00771ED5" w:rsidRPr="00771ED5" w:rsidRDefault="00771ED5" w:rsidP="00771ED5">
      <w:pPr>
        <w:rPr>
          <w:b/>
          <w:bCs/>
        </w:rPr>
      </w:pPr>
    </w:p>
    <w:p w:rsidR="00771ED5" w:rsidRPr="00771ED5" w:rsidRDefault="00771ED5" w:rsidP="00771ED5">
      <w:pPr>
        <w:pStyle w:val="ListParagraph"/>
        <w:numPr>
          <w:ilvl w:val="0"/>
          <w:numId w:val="16"/>
        </w:numPr>
        <w:rPr>
          <w:bCs/>
          <w:iCs/>
        </w:rPr>
      </w:pPr>
      <w:r w:rsidRPr="00771ED5">
        <w:rPr>
          <w:bCs/>
          <w:iCs/>
        </w:rPr>
        <w:t xml:space="preserve">Must collect a management fee of $1.00 per tire when they sell new replacement tires to the ultimate consumer. </w:t>
      </w:r>
    </w:p>
    <w:p w:rsidR="00771ED5" w:rsidRPr="00771ED5" w:rsidRDefault="00771ED5" w:rsidP="00771ED5">
      <w:pPr>
        <w:pStyle w:val="ListParagraph"/>
        <w:spacing w:line="200" w:lineRule="exact"/>
        <w:rPr>
          <w:bCs/>
          <w:iCs/>
        </w:rPr>
      </w:pPr>
    </w:p>
    <w:p w:rsidR="00771ED5" w:rsidRPr="00771ED5" w:rsidRDefault="00771ED5" w:rsidP="00771ED5">
      <w:pPr>
        <w:pStyle w:val="ListParagraph"/>
        <w:numPr>
          <w:ilvl w:val="0"/>
          <w:numId w:val="16"/>
        </w:numPr>
        <w:rPr>
          <w:bCs/>
          <w:iCs/>
        </w:rPr>
      </w:pPr>
      <w:r w:rsidRPr="00771ED5">
        <w:rPr>
          <w:bCs/>
          <w:iCs/>
        </w:rPr>
        <w:t>Must maintain accurate records of the number of new replacement tires sold each quarter.</w:t>
      </w:r>
    </w:p>
    <w:p w:rsidR="00771ED5" w:rsidRPr="00771ED5" w:rsidRDefault="00771ED5" w:rsidP="00771ED5">
      <w:pPr>
        <w:spacing w:line="200" w:lineRule="exact"/>
        <w:rPr>
          <w:bCs/>
          <w:iCs/>
        </w:rPr>
      </w:pPr>
    </w:p>
    <w:p w:rsidR="00771ED5" w:rsidRPr="00771ED5" w:rsidRDefault="00771ED5" w:rsidP="00771ED5">
      <w:pPr>
        <w:pStyle w:val="ListParagraph"/>
        <w:numPr>
          <w:ilvl w:val="0"/>
          <w:numId w:val="16"/>
        </w:numPr>
        <w:rPr>
          <w:bCs/>
          <w:iCs/>
        </w:rPr>
      </w:pPr>
      <w:r w:rsidRPr="00771ED5">
        <w:rPr>
          <w:bCs/>
          <w:iCs/>
        </w:rPr>
        <w:t xml:space="preserve">Must complete a tire fee report and remit fees each quarter to EPD. </w:t>
      </w:r>
      <w:r w:rsidRPr="00771ED5">
        <w:rPr>
          <w:bCs/>
          <w:i/>
          <w:iCs/>
        </w:rPr>
        <w:t xml:space="preserve">If there are no fees to report, or the fees were paid to a tire wholesaler, the tire retailer must still send a report to EPD with “zero” in the fee-owed space and </w:t>
      </w:r>
      <w:r w:rsidR="00EC67AC">
        <w:rPr>
          <w:bCs/>
          <w:i/>
          <w:iCs/>
        </w:rPr>
        <w:t>retian</w:t>
      </w:r>
      <w:bookmarkStart w:id="0" w:name="_GoBack"/>
      <w:bookmarkEnd w:id="0"/>
      <w:r w:rsidRPr="00771ED5">
        <w:rPr>
          <w:bCs/>
          <w:i/>
          <w:iCs/>
        </w:rPr>
        <w:t xml:space="preserve"> copies of invoices, if any, from the tire wholesaler. </w:t>
      </w:r>
    </w:p>
    <w:p w:rsidR="00771ED5" w:rsidRPr="00771ED5" w:rsidRDefault="00771ED5" w:rsidP="00771ED5">
      <w:pPr>
        <w:pStyle w:val="ListParagraph"/>
        <w:spacing w:line="200" w:lineRule="exact"/>
        <w:rPr>
          <w:bCs/>
          <w:i/>
          <w:iCs/>
        </w:rPr>
      </w:pPr>
    </w:p>
    <w:p w:rsidR="00771ED5" w:rsidRPr="00771ED5" w:rsidRDefault="00771ED5" w:rsidP="00771ED5">
      <w:pPr>
        <w:pStyle w:val="ListParagraph"/>
        <w:numPr>
          <w:ilvl w:val="0"/>
          <w:numId w:val="16"/>
        </w:numPr>
        <w:rPr>
          <w:bCs/>
          <w:iCs/>
        </w:rPr>
      </w:pPr>
      <w:r w:rsidRPr="00771ED5">
        <w:rPr>
          <w:bCs/>
          <w:iCs/>
        </w:rPr>
        <w:t>Must</w:t>
      </w:r>
      <w:r w:rsidRPr="00771ED5">
        <w:rPr>
          <w:iCs/>
        </w:rPr>
        <w:t xml:space="preserve"> send the collected tire fees to the state by the 30</w:t>
      </w:r>
      <w:r w:rsidRPr="00771ED5">
        <w:rPr>
          <w:iCs/>
          <w:vertAlign w:val="superscript"/>
        </w:rPr>
        <w:t>th</w:t>
      </w:r>
      <w:r w:rsidRPr="00771ED5">
        <w:rPr>
          <w:iCs/>
        </w:rPr>
        <w:t xml:space="preserve"> day of the month following the end of the quarter (e.g., the first quarter ends March 31 and tire fees are due to the state by April 30). For a copy of a tire fee report for a facility, call 404-362-2537 or email to </w:t>
      </w:r>
      <w:hyperlink r:id="rId9" w:history="1">
        <w:r w:rsidRPr="00771ED5">
          <w:rPr>
            <w:rStyle w:val="Hyperlink"/>
          </w:rPr>
          <w:t>epd.tire@dnr.ga.gov</w:t>
        </w:r>
      </w:hyperlink>
    </w:p>
    <w:p w:rsidR="00771ED5" w:rsidRPr="00771ED5" w:rsidRDefault="00771ED5" w:rsidP="00771ED5">
      <w:pPr>
        <w:pStyle w:val="ListParagraph"/>
        <w:rPr>
          <w:bCs/>
          <w:iCs/>
        </w:rPr>
      </w:pPr>
    </w:p>
    <w:p w:rsidR="00771ED5" w:rsidRPr="00771ED5" w:rsidRDefault="00771ED5" w:rsidP="00771ED5">
      <w:pPr>
        <w:pStyle w:val="BodyText"/>
        <w:ind w:right="-216"/>
        <w:jc w:val="center"/>
        <w:rPr>
          <w:sz w:val="24"/>
        </w:rPr>
      </w:pPr>
      <w:r w:rsidRPr="00771ED5">
        <w:rPr>
          <w:bCs/>
          <w:sz w:val="24"/>
        </w:rPr>
        <w:t>Tire Fee Remittance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5"/>
        <w:gridCol w:w="2835"/>
      </w:tblGrid>
      <w:tr w:rsidR="00771ED5" w:rsidRPr="00771ED5" w:rsidTr="00771ED5">
        <w:trPr>
          <w:jc w:val="center"/>
        </w:trPr>
        <w:tc>
          <w:tcPr>
            <w:tcW w:w="2835" w:type="dxa"/>
          </w:tcPr>
          <w:p w:rsidR="00771ED5" w:rsidRPr="00771ED5" w:rsidRDefault="00771ED5" w:rsidP="00771ED5">
            <w:pPr>
              <w:pStyle w:val="BodyText"/>
              <w:ind w:right="-216"/>
              <w:jc w:val="center"/>
              <w:rPr>
                <w:bCs/>
                <w:sz w:val="24"/>
              </w:rPr>
            </w:pPr>
            <w:r w:rsidRPr="00771ED5">
              <w:rPr>
                <w:bCs/>
                <w:sz w:val="24"/>
              </w:rPr>
              <w:t>Calendar Quarter</w:t>
            </w:r>
          </w:p>
        </w:tc>
        <w:tc>
          <w:tcPr>
            <w:tcW w:w="2835" w:type="dxa"/>
          </w:tcPr>
          <w:p w:rsidR="00771ED5" w:rsidRPr="00771ED5" w:rsidRDefault="00771ED5" w:rsidP="00771ED5">
            <w:pPr>
              <w:pStyle w:val="BodyText"/>
              <w:ind w:right="-216"/>
              <w:jc w:val="center"/>
              <w:rPr>
                <w:bCs/>
                <w:sz w:val="24"/>
              </w:rPr>
            </w:pPr>
            <w:r w:rsidRPr="00771ED5">
              <w:rPr>
                <w:bCs/>
                <w:sz w:val="24"/>
              </w:rPr>
              <w:t>Months Covered</w:t>
            </w:r>
          </w:p>
        </w:tc>
        <w:tc>
          <w:tcPr>
            <w:tcW w:w="2835" w:type="dxa"/>
          </w:tcPr>
          <w:p w:rsidR="00771ED5" w:rsidRPr="00771ED5" w:rsidRDefault="00771ED5" w:rsidP="00771ED5">
            <w:pPr>
              <w:pStyle w:val="BodyText"/>
              <w:ind w:right="-216"/>
              <w:jc w:val="center"/>
              <w:rPr>
                <w:bCs/>
                <w:sz w:val="24"/>
              </w:rPr>
            </w:pPr>
            <w:r w:rsidRPr="00771ED5">
              <w:rPr>
                <w:bCs/>
                <w:sz w:val="24"/>
              </w:rPr>
              <w:t xml:space="preserve">Deadline to Remit Fees </w:t>
            </w:r>
          </w:p>
        </w:tc>
      </w:tr>
      <w:tr w:rsidR="00771ED5" w:rsidRPr="00771ED5" w:rsidTr="00771ED5">
        <w:trPr>
          <w:jc w:val="center"/>
        </w:trPr>
        <w:tc>
          <w:tcPr>
            <w:tcW w:w="2835" w:type="dxa"/>
          </w:tcPr>
          <w:p w:rsidR="00771ED5" w:rsidRPr="00771ED5" w:rsidRDefault="00771ED5" w:rsidP="00771ED5">
            <w:pPr>
              <w:pStyle w:val="BodyText"/>
              <w:ind w:right="-216"/>
              <w:jc w:val="center"/>
              <w:rPr>
                <w:sz w:val="24"/>
              </w:rPr>
            </w:pPr>
            <w:r w:rsidRPr="00771ED5">
              <w:rPr>
                <w:sz w:val="24"/>
              </w:rPr>
              <w:t>1</w:t>
            </w:r>
          </w:p>
        </w:tc>
        <w:tc>
          <w:tcPr>
            <w:tcW w:w="2835" w:type="dxa"/>
          </w:tcPr>
          <w:p w:rsidR="00771ED5" w:rsidRPr="00771ED5" w:rsidRDefault="00771ED5" w:rsidP="00771ED5">
            <w:pPr>
              <w:pStyle w:val="BodyText"/>
              <w:ind w:right="-216"/>
              <w:jc w:val="center"/>
              <w:rPr>
                <w:sz w:val="24"/>
              </w:rPr>
            </w:pPr>
            <w:r w:rsidRPr="00771ED5">
              <w:rPr>
                <w:sz w:val="24"/>
              </w:rPr>
              <w:t>Jan., Feb., Mar.</w:t>
            </w:r>
          </w:p>
        </w:tc>
        <w:tc>
          <w:tcPr>
            <w:tcW w:w="2835" w:type="dxa"/>
          </w:tcPr>
          <w:p w:rsidR="00771ED5" w:rsidRPr="00771ED5" w:rsidRDefault="00771ED5" w:rsidP="00771ED5">
            <w:pPr>
              <w:pStyle w:val="BodyText"/>
              <w:ind w:right="-216"/>
              <w:jc w:val="center"/>
              <w:rPr>
                <w:sz w:val="24"/>
              </w:rPr>
            </w:pPr>
            <w:r w:rsidRPr="00771ED5">
              <w:rPr>
                <w:sz w:val="24"/>
              </w:rPr>
              <w:t>Apr. 30</w:t>
            </w:r>
          </w:p>
        </w:tc>
      </w:tr>
      <w:tr w:rsidR="00771ED5" w:rsidRPr="00771ED5" w:rsidTr="00771ED5">
        <w:trPr>
          <w:jc w:val="center"/>
        </w:trPr>
        <w:tc>
          <w:tcPr>
            <w:tcW w:w="2835" w:type="dxa"/>
            <w:shd w:val="clear" w:color="auto" w:fill="auto"/>
          </w:tcPr>
          <w:p w:rsidR="00771ED5" w:rsidRPr="00771ED5" w:rsidRDefault="00771ED5" w:rsidP="00771ED5">
            <w:pPr>
              <w:pStyle w:val="BodyText"/>
              <w:ind w:right="-216"/>
              <w:jc w:val="center"/>
              <w:rPr>
                <w:sz w:val="24"/>
              </w:rPr>
            </w:pPr>
            <w:r w:rsidRPr="00771ED5">
              <w:rPr>
                <w:sz w:val="24"/>
              </w:rPr>
              <w:t>2</w:t>
            </w:r>
          </w:p>
        </w:tc>
        <w:tc>
          <w:tcPr>
            <w:tcW w:w="2835" w:type="dxa"/>
            <w:shd w:val="clear" w:color="auto" w:fill="auto"/>
          </w:tcPr>
          <w:p w:rsidR="00771ED5" w:rsidRPr="00771ED5" w:rsidRDefault="00771ED5" w:rsidP="00771ED5">
            <w:pPr>
              <w:pStyle w:val="BodyText"/>
              <w:ind w:right="-216"/>
              <w:jc w:val="center"/>
              <w:rPr>
                <w:sz w:val="24"/>
              </w:rPr>
            </w:pPr>
            <w:r w:rsidRPr="00771ED5">
              <w:rPr>
                <w:sz w:val="24"/>
              </w:rPr>
              <w:t>Apr., May, Jun.</w:t>
            </w:r>
          </w:p>
        </w:tc>
        <w:tc>
          <w:tcPr>
            <w:tcW w:w="2835" w:type="dxa"/>
            <w:shd w:val="clear" w:color="auto" w:fill="auto"/>
          </w:tcPr>
          <w:p w:rsidR="00771ED5" w:rsidRPr="00771ED5" w:rsidRDefault="00771ED5" w:rsidP="00771ED5">
            <w:pPr>
              <w:pStyle w:val="BodyText"/>
              <w:ind w:right="-216"/>
              <w:jc w:val="center"/>
              <w:rPr>
                <w:sz w:val="24"/>
              </w:rPr>
            </w:pPr>
            <w:r w:rsidRPr="00771ED5">
              <w:rPr>
                <w:sz w:val="24"/>
              </w:rPr>
              <w:t>Jul. 30</w:t>
            </w:r>
          </w:p>
        </w:tc>
      </w:tr>
      <w:tr w:rsidR="00771ED5" w:rsidRPr="00771ED5" w:rsidTr="00771ED5">
        <w:trPr>
          <w:jc w:val="center"/>
        </w:trPr>
        <w:tc>
          <w:tcPr>
            <w:tcW w:w="2835" w:type="dxa"/>
          </w:tcPr>
          <w:p w:rsidR="00771ED5" w:rsidRPr="00771ED5" w:rsidRDefault="00771ED5" w:rsidP="00771ED5">
            <w:pPr>
              <w:pStyle w:val="BodyText"/>
              <w:ind w:right="-216"/>
              <w:jc w:val="center"/>
              <w:rPr>
                <w:sz w:val="24"/>
              </w:rPr>
            </w:pPr>
            <w:r w:rsidRPr="00771ED5">
              <w:rPr>
                <w:sz w:val="24"/>
              </w:rPr>
              <w:t>3</w:t>
            </w:r>
          </w:p>
        </w:tc>
        <w:tc>
          <w:tcPr>
            <w:tcW w:w="2835" w:type="dxa"/>
          </w:tcPr>
          <w:p w:rsidR="00771ED5" w:rsidRPr="00771ED5" w:rsidRDefault="00771ED5" w:rsidP="00771ED5">
            <w:pPr>
              <w:pStyle w:val="BodyText"/>
              <w:ind w:right="-216"/>
              <w:jc w:val="center"/>
              <w:rPr>
                <w:sz w:val="24"/>
              </w:rPr>
            </w:pPr>
            <w:r w:rsidRPr="00771ED5">
              <w:rPr>
                <w:sz w:val="24"/>
              </w:rPr>
              <w:t>Jul., Aug., Sep.</w:t>
            </w:r>
          </w:p>
        </w:tc>
        <w:tc>
          <w:tcPr>
            <w:tcW w:w="2835" w:type="dxa"/>
          </w:tcPr>
          <w:p w:rsidR="00771ED5" w:rsidRPr="00771ED5" w:rsidRDefault="00771ED5" w:rsidP="00771ED5">
            <w:pPr>
              <w:pStyle w:val="BodyText"/>
              <w:ind w:right="-216"/>
              <w:jc w:val="center"/>
              <w:rPr>
                <w:sz w:val="24"/>
              </w:rPr>
            </w:pPr>
            <w:r w:rsidRPr="00771ED5">
              <w:rPr>
                <w:sz w:val="24"/>
              </w:rPr>
              <w:t>Oct. 30</w:t>
            </w:r>
          </w:p>
        </w:tc>
      </w:tr>
      <w:tr w:rsidR="00771ED5" w:rsidRPr="00771ED5" w:rsidTr="00771ED5">
        <w:trPr>
          <w:jc w:val="center"/>
        </w:trPr>
        <w:tc>
          <w:tcPr>
            <w:tcW w:w="2835" w:type="dxa"/>
          </w:tcPr>
          <w:p w:rsidR="00771ED5" w:rsidRPr="00771ED5" w:rsidRDefault="00771ED5" w:rsidP="00771ED5">
            <w:pPr>
              <w:pStyle w:val="BodyText"/>
              <w:ind w:right="-216"/>
              <w:jc w:val="center"/>
              <w:rPr>
                <w:sz w:val="24"/>
              </w:rPr>
            </w:pPr>
            <w:r w:rsidRPr="00771ED5">
              <w:rPr>
                <w:sz w:val="24"/>
              </w:rPr>
              <w:t>4</w:t>
            </w:r>
          </w:p>
        </w:tc>
        <w:tc>
          <w:tcPr>
            <w:tcW w:w="2835" w:type="dxa"/>
          </w:tcPr>
          <w:p w:rsidR="00771ED5" w:rsidRPr="00771ED5" w:rsidRDefault="00771ED5" w:rsidP="00771ED5">
            <w:pPr>
              <w:pStyle w:val="BodyText"/>
              <w:ind w:right="-216"/>
              <w:jc w:val="center"/>
              <w:rPr>
                <w:sz w:val="24"/>
              </w:rPr>
            </w:pPr>
            <w:r w:rsidRPr="00771ED5">
              <w:rPr>
                <w:sz w:val="24"/>
              </w:rPr>
              <w:t>Oct., Nov., Dec.</w:t>
            </w:r>
          </w:p>
        </w:tc>
        <w:tc>
          <w:tcPr>
            <w:tcW w:w="2835" w:type="dxa"/>
          </w:tcPr>
          <w:p w:rsidR="00771ED5" w:rsidRPr="00771ED5" w:rsidRDefault="00771ED5" w:rsidP="00771ED5">
            <w:pPr>
              <w:pStyle w:val="BodyText"/>
              <w:ind w:right="-216"/>
              <w:jc w:val="center"/>
              <w:rPr>
                <w:sz w:val="24"/>
              </w:rPr>
            </w:pPr>
            <w:r w:rsidRPr="00771ED5">
              <w:rPr>
                <w:sz w:val="24"/>
              </w:rPr>
              <w:t>Jan. 30</w:t>
            </w:r>
          </w:p>
        </w:tc>
      </w:tr>
    </w:tbl>
    <w:p w:rsidR="00771ED5" w:rsidRDefault="00771ED5" w:rsidP="00771ED5">
      <w:pPr>
        <w:pStyle w:val="ListParagraph"/>
        <w:rPr>
          <w:b/>
          <w:bCs/>
          <w:iCs/>
        </w:rPr>
      </w:pPr>
    </w:p>
    <w:p w:rsidR="00771ED5" w:rsidRPr="00771ED5" w:rsidRDefault="00771ED5" w:rsidP="00771ED5">
      <w:pPr>
        <w:pStyle w:val="ListParagraph"/>
        <w:rPr>
          <w:b/>
          <w:bCs/>
          <w:iCs/>
        </w:rPr>
      </w:pPr>
      <w:r w:rsidRPr="00771ED5">
        <w:rPr>
          <w:b/>
          <w:bCs/>
          <w:iCs/>
        </w:rPr>
        <w:t xml:space="preserve">Important: Failure to collect and remit the appropriate tire management fee and/or tire fee reports is </w:t>
      </w:r>
      <w:r w:rsidRPr="00771ED5">
        <w:rPr>
          <w:b/>
        </w:rPr>
        <w:t>considered a violation of the Act and the Rules which may result in enforcement actions, including monetary penalties</w:t>
      </w:r>
    </w:p>
    <w:p w:rsidR="00771ED5" w:rsidRPr="00771ED5" w:rsidRDefault="00771ED5" w:rsidP="00771ED5">
      <w:pPr>
        <w:rPr>
          <w:bCs/>
          <w:iCs/>
        </w:rPr>
      </w:pPr>
    </w:p>
    <w:p w:rsidR="00771ED5" w:rsidRPr="00771ED5" w:rsidRDefault="00771ED5" w:rsidP="00771ED5">
      <w:pPr>
        <w:rPr>
          <w:b/>
          <w:bCs/>
          <w:iCs/>
          <w:sz w:val="28"/>
          <w:szCs w:val="28"/>
        </w:rPr>
      </w:pPr>
      <w:r w:rsidRPr="00771ED5">
        <w:rPr>
          <w:b/>
          <w:bCs/>
          <w:iCs/>
          <w:sz w:val="28"/>
          <w:szCs w:val="28"/>
        </w:rPr>
        <w:t>Fee Exceptions</w:t>
      </w:r>
    </w:p>
    <w:p w:rsidR="00771ED5" w:rsidRPr="00771ED5" w:rsidRDefault="00771ED5" w:rsidP="00771ED5">
      <w:pPr>
        <w:rPr>
          <w:b/>
          <w:bCs/>
          <w:iCs/>
          <w:sz w:val="28"/>
          <w:szCs w:val="28"/>
        </w:rPr>
      </w:pPr>
    </w:p>
    <w:p w:rsidR="00771ED5" w:rsidRPr="00771ED5" w:rsidRDefault="00771ED5" w:rsidP="00771ED5">
      <w:pPr>
        <w:rPr>
          <w:bCs/>
          <w:iCs/>
        </w:rPr>
      </w:pPr>
      <w:r w:rsidRPr="00771ED5">
        <w:rPr>
          <w:bCs/>
          <w:iCs/>
        </w:rPr>
        <w:t>The tire management fee is not imposed on the sale of tires:</w:t>
      </w:r>
    </w:p>
    <w:p w:rsidR="00771ED5" w:rsidRPr="00771ED5" w:rsidRDefault="00771ED5" w:rsidP="00771ED5">
      <w:pPr>
        <w:rPr>
          <w:bCs/>
          <w:iCs/>
        </w:rPr>
      </w:pPr>
    </w:p>
    <w:p w:rsidR="00771ED5" w:rsidRPr="00771ED5" w:rsidRDefault="00771ED5" w:rsidP="00771ED5">
      <w:pPr>
        <w:pStyle w:val="ListParagraph"/>
        <w:numPr>
          <w:ilvl w:val="0"/>
          <w:numId w:val="17"/>
        </w:numPr>
        <w:rPr>
          <w:bCs/>
          <w:iCs/>
        </w:rPr>
      </w:pPr>
      <w:r w:rsidRPr="00771ED5">
        <w:rPr>
          <w:bCs/>
          <w:iCs/>
        </w:rPr>
        <w:t>Having a rim size of less than 12 inches</w:t>
      </w:r>
    </w:p>
    <w:p w:rsidR="00771ED5" w:rsidRPr="00771ED5" w:rsidRDefault="00771ED5" w:rsidP="00771ED5">
      <w:pPr>
        <w:pStyle w:val="ListParagraph"/>
        <w:rPr>
          <w:bCs/>
          <w:iCs/>
        </w:rPr>
      </w:pPr>
    </w:p>
    <w:p w:rsidR="00771ED5" w:rsidRPr="00771ED5" w:rsidRDefault="00771ED5" w:rsidP="00771ED5">
      <w:pPr>
        <w:pStyle w:val="ListParagraph"/>
        <w:numPr>
          <w:ilvl w:val="0"/>
          <w:numId w:val="17"/>
        </w:numPr>
        <w:rPr>
          <w:bCs/>
          <w:iCs/>
        </w:rPr>
      </w:pPr>
      <w:r w:rsidRPr="00771ED5">
        <w:rPr>
          <w:bCs/>
          <w:iCs/>
        </w:rPr>
        <w:t>From any device moved exclusively by human power</w:t>
      </w:r>
    </w:p>
    <w:p w:rsidR="00771ED5" w:rsidRPr="00771ED5" w:rsidRDefault="00771ED5" w:rsidP="00771ED5">
      <w:pPr>
        <w:pStyle w:val="ListParagraph"/>
        <w:rPr>
          <w:bCs/>
          <w:iCs/>
        </w:rPr>
      </w:pPr>
    </w:p>
    <w:p w:rsidR="00B95445" w:rsidRPr="00771ED5" w:rsidRDefault="00771ED5" w:rsidP="00771ED5">
      <w:pPr>
        <w:pStyle w:val="ListParagraph"/>
        <w:numPr>
          <w:ilvl w:val="0"/>
          <w:numId w:val="17"/>
        </w:numPr>
        <w:rPr>
          <w:bCs/>
          <w:iCs/>
        </w:rPr>
      </w:pPr>
      <w:r w:rsidRPr="00771ED5">
        <w:rPr>
          <w:bCs/>
          <w:iCs/>
        </w:rPr>
        <w:t>From any device used exclusively for agricultural purposes, except a farm truck</w:t>
      </w:r>
    </w:p>
    <w:sectPr w:rsidR="00B95445" w:rsidRPr="00771ED5" w:rsidSect="00771ED5">
      <w:headerReference w:type="default" r:id="rId10"/>
      <w:footerReference w:type="default" r:id="rId11"/>
      <w:pgSz w:w="12240" w:h="15840"/>
      <w:pgMar w:top="864" w:right="864" w:bottom="864" w:left="864" w:header="864" w:footer="4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838" w:rsidRDefault="00260838">
      <w:r>
        <w:separator/>
      </w:r>
    </w:p>
  </w:endnote>
  <w:endnote w:type="continuationSeparator" w:id="0">
    <w:p w:rsidR="00260838" w:rsidRDefault="0026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74" w:rsidRDefault="00690974" w:rsidP="00690974">
    <w:pPr>
      <w:pStyle w:val="Footer"/>
      <w:jc w:val="center"/>
      <w:rPr>
        <w:rFonts w:asciiTheme="minorHAnsi" w:hAnsiTheme="minorHAnsi" w:cstheme="minorHAnsi"/>
        <w:sz w:val="18"/>
        <w:szCs w:val="18"/>
      </w:rPr>
    </w:pPr>
    <w:r w:rsidRPr="00EC3722">
      <w:rPr>
        <w:rFonts w:asciiTheme="minorHAnsi" w:hAnsiTheme="minorHAnsi" w:cstheme="minorHAnsi"/>
        <w:b/>
        <w:bCs/>
        <w:sz w:val="18"/>
        <w:szCs w:val="18"/>
      </w:rPr>
      <w:t xml:space="preserve">Disclaimer: </w:t>
    </w:r>
    <w:r w:rsidRPr="00EC3722">
      <w:rPr>
        <w:rFonts w:asciiTheme="minorHAnsi" w:hAnsiTheme="minorHAnsi" w:cstheme="minorHAnsi"/>
        <w:sz w:val="18"/>
        <w:szCs w:val="18"/>
      </w:rPr>
      <w:t>This document is for guidance purposes only and is not intended to replace the actual rules and regulations governing scrap tire management in the State of Georgia. Any person generating scrap tires or selling new replacement tires, must follow the State of Georgia Rules and Regulations for Scrap and Used Tire Management contained in the Solid Waste Management Act, as amended (O.C.G.A. 12-8-20), the Rules for Solid Waste Management (Chapter 391-3-4-.19</w:t>
    </w:r>
    <w:r>
      <w:rPr>
        <w:rFonts w:asciiTheme="minorHAnsi" w:hAnsiTheme="minorHAnsi" w:cstheme="minorHAnsi"/>
        <w:sz w:val="18"/>
        <w:szCs w:val="18"/>
      </w:rPr>
      <w:t>)</w:t>
    </w:r>
    <w:r w:rsidRPr="00EC3722">
      <w:rPr>
        <w:rFonts w:asciiTheme="minorHAnsi" w:hAnsiTheme="minorHAnsi" w:cstheme="minorHAnsi"/>
        <w:sz w:val="18"/>
        <w:szCs w:val="18"/>
      </w:rPr>
      <w:t>, and all other applicable federal, state, and local rules and regulations.</w:t>
    </w:r>
  </w:p>
  <w:p w:rsidR="00690974" w:rsidRDefault="00690974" w:rsidP="00690974">
    <w:pPr>
      <w:pStyle w:val="Footer"/>
      <w:jc w:val="center"/>
      <w:rPr>
        <w:rFonts w:asciiTheme="minorHAnsi" w:hAnsiTheme="minorHAnsi" w:cstheme="minorHAnsi"/>
        <w:sz w:val="18"/>
        <w:szCs w:val="18"/>
      </w:rPr>
    </w:pPr>
  </w:p>
  <w:p w:rsidR="0075610E" w:rsidRPr="0075610E" w:rsidRDefault="0075610E" w:rsidP="00690974">
    <w:pPr>
      <w:pStyle w:val="Footer"/>
      <w:jc w:val="center"/>
      <w:rPr>
        <w:rFonts w:asciiTheme="minorHAnsi" w:hAnsiTheme="minorHAnsi" w:cstheme="minorHAnsi"/>
        <w:sz w:val="20"/>
        <w:szCs w:val="20"/>
      </w:rPr>
    </w:pPr>
    <w:r w:rsidRPr="0075610E">
      <w:rPr>
        <w:rFonts w:asciiTheme="minorHAnsi" w:hAnsiTheme="minorHAnsi" w:cstheme="minorHAnsi"/>
        <w:sz w:val="20"/>
        <w:szCs w:val="20"/>
      </w:rPr>
      <w:t xml:space="preserve">Georgia EPD </w:t>
    </w:r>
    <w:r w:rsidR="005A2482" w:rsidRPr="005A2482">
      <w:rPr>
        <w:rFonts w:asciiTheme="minorHAnsi" w:hAnsiTheme="minorHAnsi" w:cstheme="minorHAnsi"/>
        <w:sz w:val="20"/>
        <w:szCs w:val="20"/>
      </w:rPr>
      <w:t>Solid Waste Management</w:t>
    </w:r>
    <w:r w:rsidR="005A2482">
      <w:rPr>
        <w:rFonts w:asciiTheme="minorHAnsi" w:hAnsiTheme="minorHAnsi" w:cstheme="minorHAnsi"/>
        <w:sz w:val="20"/>
        <w:szCs w:val="20"/>
      </w:rPr>
      <w:t xml:space="preserve"> Program</w:t>
    </w:r>
    <w:r w:rsidRPr="0075610E">
      <w:rPr>
        <w:rFonts w:asciiTheme="minorHAnsi" w:hAnsiTheme="minorHAnsi" w:cstheme="minorHAnsi"/>
        <w:sz w:val="20"/>
        <w:szCs w:val="20"/>
      </w:rPr>
      <w:t xml:space="preserve"> • 4244 International Parkway • Suite 104 • Atlanta, GA 30354 • </w:t>
    </w:r>
    <w:r w:rsidR="005A2482" w:rsidRPr="005A2482">
      <w:rPr>
        <w:rFonts w:asciiTheme="minorHAnsi" w:hAnsiTheme="minorHAnsi" w:cstheme="minorHAnsi"/>
        <w:sz w:val="20"/>
        <w:szCs w:val="20"/>
      </w:rPr>
      <w:t>(404) 362-2537</w:t>
    </w:r>
  </w:p>
  <w:p w:rsidR="0075610E" w:rsidRDefault="00756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838" w:rsidRDefault="00260838">
      <w:r>
        <w:separator/>
      </w:r>
    </w:p>
  </w:footnote>
  <w:footnote w:type="continuationSeparator" w:id="0">
    <w:p w:rsidR="00260838" w:rsidRDefault="00260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B91" w:rsidRDefault="00235B91" w:rsidP="00235B91">
    <w:pPr>
      <w:pStyle w:val="Title"/>
      <w:rPr>
        <w:rFonts w:asciiTheme="minorHAnsi" w:hAnsiTheme="minorHAnsi" w:cstheme="minorHAnsi"/>
        <w:color w:val="00B050"/>
        <w:sz w:val="40"/>
        <w:szCs w:val="40"/>
      </w:rPr>
    </w:pPr>
    <w:r>
      <w:rPr>
        <w:noProof/>
        <w:sz w:val="16"/>
      </w:rPr>
      <w:drawing>
        <wp:anchor distT="0" distB="0" distL="114300" distR="114300" simplePos="0" relativeHeight="251658240" behindDoc="1" locked="0" layoutInCell="1" allowOverlap="1" wp14:anchorId="2E57828D" wp14:editId="6E382925">
          <wp:simplePos x="0" y="0"/>
          <wp:positionH relativeFrom="page">
            <wp:posOffset>175260</wp:posOffset>
          </wp:positionH>
          <wp:positionV relativeFrom="page">
            <wp:posOffset>155575</wp:posOffset>
          </wp:positionV>
          <wp:extent cx="1337140" cy="1554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714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AAA">
      <w:rPr>
        <w:rFonts w:asciiTheme="minorHAnsi" w:hAnsiTheme="minorHAnsi" w:cstheme="minorHAnsi"/>
        <w:color w:val="00B050"/>
        <w:sz w:val="40"/>
        <w:szCs w:val="40"/>
      </w:rPr>
      <w:t xml:space="preserve">State of Georgia </w:t>
    </w:r>
  </w:p>
  <w:p w:rsidR="00235B91" w:rsidRPr="009C3AAA" w:rsidRDefault="00771ED5" w:rsidP="00235B91">
    <w:pPr>
      <w:pStyle w:val="Title"/>
      <w:rPr>
        <w:rFonts w:asciiTheme="minorHAnsi" w:hAnsiTheme="minorHAnsi" w:cstheme="minorHAnsi"/>
        <w:color w:val="00B050"/>
        <w:sz w:val="40"/>
        <w:szCs w:val="40"/>
      </w:rPr>
    </w:pPr>
    <w:r>
      <w:rPr>
        <w:rFonts w:asciiTheme="minorHAnsi" w:hAnsiTheme="minorHAnsi" w:cstheme="minorHAnsi"/>
        <w:color w:val="00B050"/>
        <w:sz w:val="40"/>
        <w:szCs w:val="40"/>
      </w:rPr>
      <w:t>New Tire Retailer</w:t>
    </w:r>
    <w:r w:rsidR="00235B91" w:rsidRPr="009C3AAA">
      <w:rPr>
        <w:rFonts w:asciiTheme="minorHAnsi" w:hAnsiTheme="minorHAnsi" w:cstheme="minorHAnsi"/>
        <w:color w:val="00B050"/>
        <w:sz w:val="40"/>
        <w:szCs w:val="40"/>
      </w:rPr>
      <w:t xml:space="preserve"> Responsibilities</w:t>
    </w:r>
  </w:p>
  <w:p w:rsidR="00235B91" w:rsidRDefault="00235B91" w:rsidP="00235B91">
    <w:pPr>
      <w:pStyle w:val="BodyTextIndent"/>
      <w:ind w:left="0"/>
      <w:jc w:val="center"/>
      <w:rPr>
        <w:rFonts w:asciiTheme="minorHAnsi" w:hAnsiTheme="minorHAnsi" w:cstheme="minorHAnsi"/>
        <w:i/>
        <w:sz w:val="22"/>
      </w:rPr>
    </w:pPr>
    <w:r w:rsidRPr="00096C25">
      <w:rPr>
        <w:rFonts w:asciiTheme="minorHAnsi" w:hAnsiTheme="minorHAnsi" w:cstheme="minorHAnsi"/>
        <w:i/>
        <w:sz w:val="22"/>
      </w:rPr>
      <w:t xml:space="preserve">This document is a quick reference to the requirements for scrap tire generators </w:t>
    </w:r>
  </w:p>
  <w:p w:rsidR="00235B91" w:rsidRDefault="00235B91" w:rsidP="00235B91">
    <w:pPr>
      <w:pStyle w:val="BodyTextIndent"/>
      <w:ind w:left="0"/>
      <w:jc w:val="center"/>
      <w:rPr>
        <w:rFonts w:asciiTheme="minorHAnsi" w:hAnsiTheme="minorHAnsi" w:cstheme="minorHAnsi"/>
        <w:i/>
        <w:sz w:val="22"/>
      </w:rPr>
    </w:pPr>
    <w:r w:rsidRPr="00096C25">
      <w:rPr>
        <w:rFonts w:asciiTheme="minorHAnsi" w:hAnsiTheme="minorHAnsi" w:cstheme="minorHAnsi"/>
        <w:i/>
        <w:sz w:val="22"/>
      </w:rPr>
      <w:t>in the State of</w:t>
    </w:r>
    <w:r>
      <w:rPr>
        <w:rFonts w:asciiTheme="minorHAnsi" w:hAnsiTheme="minorHAnsi" w:cstheme="minorHAnsi"/>
        <w:i/>
        <w:sz w:val="22"/>
      </w:rPr>
      <w:t xml:space="preserve"> </w:t>
    </w:r>
    <w:r w:rsidRPr="00096C25">
      <w:rPr>
        <w:rFonts w:asciiTheme="minorHAnsi" w:hAnsiTheme="minorHAnsi" w:cstheme="minorHAnsi"/>
        <w:i/>
        <w:sz w:val="22"/>
      </w:rPr>
      <w:t xml:space="preserve">Georgia. </w:t>
    </w:r>
    <w:r>
      <w:rPr>
        <w:rFonts w:asciiTheme="minorHAnsi" w:hAnsiTheme="minorHAnsi" w:cstheme="minorHAnsi"/>
        <w:i/>
        <w:sz w:val="22"/>
      </w:rPr>
      <w:t xml:space="preserve"> </w:t>
    </w:r>
    <w:r w:rsidRPr="00096C25">
      <w:rPr>
        <w:rFonts w:asciiTheme="minorHAnsi" w:hAnsiTheme="minorHAnsi" w:cstheme="minorHAnsi"/>
        <w:i/>
        <w:sz w:val="22"/>
      </w:rPr>
      <w:t>Please keep or post in your place of business.</w:t>
    </w:r>
  </w:p>
  <w:p w:rsidR="003328BA" w:rsidRDefault="003328BA" w:rsidP="00235B91">
    <w:pPr>
      <w:pStyle w:val="Heade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981"/>
    <w:multiLevelType w:val="hybridMultilevel"/>
    <w:tmpl w:val="92869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537F3A"/>
    <w:multiLevelType w:val="hybridMultilevel"/>
    <w:tmpl w:val="C8087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DC23C4"/>
    <w:multiLevelType w:val="hybridMultilevel"/>
    <w:tmpl w:val="8D3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51FF0"/>
    <w:multiLevelType w:val="hybridMultilevel"/>
    <w:tmpl w:val="EA4ACE76"/>
    <w:lvl w:ilvl="0" w:tplc="298E937E">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8819EC"/>
    <w:multiLevelType w:val="hybridMultilevel"/>
    <w:tmpl w:val="53B84F4A"/>
    <w:lvl w:ilvl="0" w:tplc="298E937E">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F438CF"/>
    <w:multiLevelType w:val="hybridMultilevel"/>
    <w:tmpl w:val="46D495BA"/>
    <w:lvl w:ilvl="0" w:tplc="298E937E">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C393CD4"/>
    <w:multiLevelType w:val="hybridMultilevel"/>
    <w:tmpl w:val="CEEA7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BF62E4"/>
    <w:multiLevelType w:val="hybridMultilevel"/>
    <w:tmpl w:val="3A4A9D84"/>
    <w:lvl w:ilvl="0" w:tplc="298E937E">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C55529E"/>
    <w:multiLevelType w:val="hybridMultilevel"/>
    <w:tmpl w:val="75CA3B8E"/>
    <w:lvl w:ilvl="0" w:tplc="298E937E">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508174B"/>
    <w:multiLevelType w:val="hybridMultilevel"/>
    <w:tmpl w:val="7640E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F45521"/>
    <w:multiLevelType w:val="hybridMultilevel"/>
    <w:tmpl w:val="C1B8574C"/>
    <w:lvl w:ilvl="0" w:tplc="D3AE6038">
      <w:start w:val="1"/>
      <w:numFmt w:val="lowerLetter"/>
      <w:lvlText w:val="%1."/>
      <w:lvlJc w:val="left"/>
      <w:pPr>
        <w:tabs>
          <w:tab w:val="num" w:pos="1152"/>
        </w:tabs>
        <w:ind w:left="1152" w:hanging="360"/>
      </w:pPr>
      <w:rPr>
        <w:rFonts w:hint="default"/>
      </w:rPr>
    </w:lvl>
    <w:lvl w:ilvl="1" w:tplc="298E937E">
      <w:start w:val="1"/>
      <w:numFmt w:val="bullet"/>
      <w:lvlText w:val=""/>
      <w:lvlJc w:val="left"/>
      <w:pPr>
        <w:tabs>
          <w:tab w:val="num" w:pos="1944"/>
        </w:tabs>
        <w:ind w:left="1944" w:hanging="432"/>
      </w:pPr>
      <w:rPr>
        <w:rFonts w:ascii="Wingdings" w:hAnsi="Wingdings" w:hint="default"/>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1">
    <w:nsid w:val="47DD2180"/>
    <w:multiLevelType w:val="hybridMultilevel"/>
    <w:tmpl w:val="6CC2BB06"/>
    <w:lvl w:ilvl="0" w:tplc="0409000F">
      <w:start w:val="1"/>
      <w:numFmt w:val="decimal"/>
      <w:lvlText w:val="%1."/>
      <w:lvlJc w:val="left"/>
      <w:pPr>
        <w:tabs>
          <w:tab w:val="num" w:pos="720"/>
        </w:tabs>
        <w:ind w:left="720" w:hanging="360"/>
      </w:pPr>
      <w:rPr>
        <w:rFonts w:hint="default"/>
      </w:rPr>
    </w:lvl>
    <w:lvl w:ilvl="1" w:tplc="629675B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7F540B"/>
    <w:multiLevelType w:val="hybridMultilevel"/>
    <w:tmpl w:val="F6A2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5A3059"/>
    <w:multiLevelType w:val="hybridMultilevel"/>
    <w:tmpl w:val="0A22F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B969C3"/>
    <w:multiLevelType w:val="hybridMultilevel"/>
    <w:tmpl w:val="4C06E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BE3CAE"/>
    <w:multiLevelType w:val="hybridMultilevel"/>
    <w:tmpl w:val="5E14B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6F15D00"/>
    <w:multiLevelType w:val="hybridMultilevel"/>
    <w:tmpl w:val="ED3C99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385A3A"/>
    <w:multiLevelType w:val="hybridMultilevel"/>
    <w:tmpl w:val="4522B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3"/>
  </w:num>
  <w:num w:numId="4">
    <w:abstractNumId w:val="4"/>
  </w:num>
  <w:num w:numId="5">
    <w:abstractNumId w:val="5"/>
  </w:num>
  <w:num w:numId="6">
    <w:abstractNumId w:val="10"/>
  </w:num>
  <w:num w:numId="7">
    <w:abstractNumId w:val="7"/>
  </w:num>
  <w:num w:numId="8">
    <w:abstractNumId w:val="2"/>
  </w:num>
  <w:num w:numId="9">
    <w:abstractNumId w:val="17"/>
  </w:num>
  <w:num w:numId="10">
    <w:abstractNumId w:val="15"/>
  </w:num>
  <w:num w:numId="11">
    <w:abstractNumId w:val="1"/>
  </w:num>
  <w:num w:numId="12">
    <w:abstractNumId w:val="0"/>
  </w:num>
  <w:num w:numId="13">
    <w:abstractNumId w:val="13"/>
  </w:num>
  <w:num w:numId="14">
    <w:abstractNumId w:val="16"/>
  </w:num>
  <w:num w:numId="15">
    <w:abstractNumId w:val="14"/>
  </w:num>
  <w:num w:numId="16">
    <w:abstractNumId w:val="6"/>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E3"/>
    <w:rsid w:val="00045AE3"/>
    <w:rsid w:val="00096C25"/>
    <w:rsid w:val="000D5A76"/>
    <w:rsid w:val="000E411B"/>
    <w:rsid w:val="000F4171"/>
    <w:rsid w:val="00145548"/>
    <w:rsid w:val="00177C45"/>
    <w:rsid w:val="00235B91"/>
    <w:rsid w:val="00260838"/>
    <w:rsid w:val="003328BA"/>
    <w:rsid w:val="00346D16"/>
    <w:rsid w:val="00410EB6"/>
    <w:rsid w:val="00423A7C"/>
    <w:rsid w:val="004725D7"/>
    <w:rsid w:val="00596EFC"/>
    <w:rsid w:val="005A2482"/>
    <w:rsid w:val="00611476"/>
    <w:rsid w:val="0061225E"/>
    <w:rsid w:val="00620920"/>
    <w:rsid w:val="00632ECE"/>
    <w:rsid w:val="00690974"/>
    <w:rsid w:val="0075610E"/>
    <w:rsid w:val="00771ED5"/>
    <w:rsid w:val="008B7D4E"/>
    <w:rsid w:val="0092456E"/>
    <w:rsid w:val="00952E66"/>
    <w:rsid w:val="009C3AAA"/>
    <w:rsid w:val="00A10C5F"/>
    <w:rsid w:val="00A64D2D"/>
    <w:rsid w:val="00A7667D"/>
    <w:rsid w:val="00AC7EF1"/>
    <w:rsid w:val="00AE2A6A"/>
    <w:rsid w:val="00AE612F"/>
    <w:rsid w:val="00B24B37"/>
    <w:rsid w:val="00B95445"/>
    <w:rsid w:val="00BA3F8C"/>
    <w:rsid w:val="00C869DC"/>
    <w:rsid w:val="00CE1994"/>
    <w:rsid w:val="00D43F54"/>
    <w:rsid w:val="00DB57B4"/>
    <w:rsid w:val="00EA76C0"/>
    <w:rsid w:val="00EB2973"/>
    <w:rsid w:val="00EC3722"/>
    <w:rsid w:val="00EC67AC"/>
    <w:rsid w:val="00F804BB"/>
    <w:rsid w:val="00F8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360"/>
      <w:jc w:val="center"/>
      <w:outlineLvl w:val="1"/>
    </w:pPr>
    <w:rPr>
      <w:b/>
      <w:bCs/>
    </w:rPr>
  </w:style>
  <w:style w:type="paragraph" w:styleId="Heading3">
    <w:name w:val="heading 3"/>
    <w:basedOn w:val="Normal"/>
    <w:next w:val="Normal"/>
    <w:qFormat/>
    <w:pPr>
      <w:keepNext/>
      <w:ind w:left="360"/>
      <w:outlineLvl w:val="2"/>
    </w:pPr>
    <w:rPr>
      <w:rFonts w:ascii="Haettenschweiler" w:hAnsi="Haettenschweile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rPr>
      <w:sz w:val="22"/>
    </w:rPr>
  </w:style>
  <w:style w:type="paragraph" w:styleId="BodyText2">
    <w:name w:val="Body Text 2"/>
    <w:basedOn w:val="Normal"/>
    <w:semiHidden/>
    <w:rPr>
      <w:i/>
      <w:iCs/>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ind w:left="360"/>
      <w:jc w:val="both"/>
    </w:pPr>
    <w:rPr>
      <w:rFonts w:ascii="Lucida Sans" w:hAnsi="Lucida Sans" w:cs="Arial"/>
      <w:sz w:val="18"/>
    </w:rPr>
  </w:style>
  <w:style w:type="character" w:styleId="Hyperlink">
    <w:name w:val="Hyperlink"/>
    <w:semiHidden/>
    <w:rPr>
      <w:color w:val="0000FF"/>
      <w:u w:val="single"/>
    </w:rPr>
  </w:style>
  <w:style w:type="paragraph" w:styleId="ListParagraph">
    <w:name w:val="List Paragraph"/>
    <w:basedOn w:val="Normal"/>
    <w:uiPriority w:val="34"/>
    <w:qFormat/>
    <w:rsid w:val="00B95445"/>
    <w:pPr>
      <w:ind w:left="720"/>
      <w:contextualSpacing/>
    </w:pPr>
  </w:style>
  <w:style w:type="character" w:customStyle="1" w:styleId="FooterChar">
    <w:name w:val="Footer Char"/>
    <w:basedOn w:val="DefaultParagraphFont"/>
    <w:link w:val="Footer"/>
    <w:uiPriority w:val="99"/>
    <w:rsid w:val="0075610E"/>
    <w:rPr>
      <w:sz w:val="24"/>
      <w:szCs w:val="24"/>
    </w:rPr>
  </w:style>
  <w:style w:type="paragraph" w:styleId="BalloonText">
    <w:name w:val="Balloon Text"/>
    <w:basedOn w:val="Normal"/>
    <w:link w:val="BalloonTextChar"/>
    <w:uiPriority w:val="99"/>
    <w:semiHidden/>
    <w:unhideWhenUsed/>
    <w:rsid w:val="0075610E"/>
    <w:rPr>
      <w:rFonts w:ascii="Tahoma" w:hAnsi="Tahoma" w:cs="Tahoma"/>
      <w:sz w:val="16"/>
      <w:szCs w:val="16"/>
    </w:rPr>
  </w:style>
  <w:style w:type="character" w:customStyle="1" w:styleId="BalloonTextChar">
    <w:name w:val="Balloon Text Char"/>
    <w:basedOn w:val="DefaultParagraphFont"/>
    <w:link w:val="BalloonText"/>
    <w:uiPriority w:val="99"/>
    <w:semiHidden/>
    <w:rsid w:val="0075610E"/>
    <w:rPr>
      <w:rFonts w:ascii="Tahoma" w:hAnsi="Tahoma" w:cs="Tahoma"/>
      <w:sz w:val="16"/>
      <w:szCs w:val="16"/>
    </w:rPr>
  </w:style>
  <w:style w:type="character" w:customStyle="1" w:styleId="UnresolvedMention">
    <w:name w:val="Unresolved Mention"/>
    <w:basedOn w:val="DefaultParagraphFont"/>
    <w:uiPriority w:val="99"/>
    <w:semiHidden/>
    <w:unhideWhenUsed/>
    <w:rsid w:val="00771ED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360"/>
      <w:jc w:val="center"/>
      <w:outlineLvl w:val="1"/>
    </w:pPr>
    <w:rPr>
      <w:b/>
      <w:bCs/>
    </w:rPr>
  </w:style>
  <w:style w:type="paragraph" w:styleId="Heading3">
    <w:name w:val="heading 3"/>
    <w:basedOn w:val="Normal"/>
    <w:next w:val="Normal"/>
    <w:qFormat/>
    <w:pPr>
      <w:keepNext/>
      <w:ind w:left="360"/>
      <w:outlineLvl w:val="2"/>
    </w:pPr>
    <w:rPr>
      <w:rFonts w:ascii="Haettenschweiler" w:hAnsi="Haettenschweile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rPr>
      <w:sz w:val="22"/>
    </w:rPr>
  </w:style>
  <w:style w:type="paragraph" w:styleId="BodyText2">
    <w:name w:val="Body Text 2"/>
    <w:basedOn w:val="Normal"/>
    <w:semiHidden/>
    <w:rPr>
      <w:i/>
      <w:iCs/>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ind w:left="360"/>
      <w:jc w:val="both"/>
    </w:pPr>
    <w:rPr>
      <w:rFonts w:ascii="Lucida Sans" w:hAnsi="Lucida Sans" w:cs="Arial"/>
      <w:sz w:val="18"/>
    </w:rPr>
  </w:style>
  <w:style w:type="character" w:styleId="Hyperlink">
    <w:name w:val="Hyperlink"/>
    <w:semiHidden/>
    <w:rPr>
      <w:color w:val="0000FF"/>
      <w:u w:val="single"/>
    </w:rPr>
  </w:style>
  <w:style w:type="paragraph" w:styleId="ListParagraph">
    <w:name w:val="List Paragraph"/>
    <w:basedOn w:val="Normal"/>
    <w:uiPriority w:val="34"/>
    <w:qFormat/>
    <w:rsid w:val="00B95445"/>
    <w:pPr>
      <w:ind w:left="720"/>
      <w:contextualSpacing/>
    </w:pPr>
  </w:style>
  <w:style w:type="character" w:customStyle="1" w:styleId="FooterChar">
    <w:name w:val="Footer Char"/>
    <w:basedOn w:val="DefaultParagraphFont"/>
    <w:link w:val="Footer"/>
    <w:uiPriority w:val="99"/>
    <w:rsid w:val="0075610E"/>
    <w:rPr>
      <w:sz w:val="24"/>
      <w:szCs w:val="24"/>
    </w:rPr>
  </w:style>
  <w:style w:type="paragraph" w:styleId="BalloonText">
    <w:name w:val="Balloon Text"/>
    <w:basedOn w:val="Normal"/>
    <w:link w:val="BalloonTextChar"/>
    <w:uiPriority w:val="99"/>
    <w:semiHidden/>
    <w:unhideWhenUsed/>
    <w:rsid w:val="0075610E"/>
    <w:rPr>
      <w:rFonts w:ascii="Tahoma" w:hAnsi="Tahoma" w:cs="Tahoma"/>
      <w:sz w:val="16"/>
      <w:szCs w:val="16"/>
    </w:rPr>
  </w:style>
  <w:style w:type="character" w:customStyle="1" w:styleId="BalloonTextChar">
    <w:name w:val="Balloon Text Char"/>
    <w:basedOn w:val="DefaultParagraphFont"/>
    <w:link w:val="BalloonText"/>
    <w:uiPriority w:val="99"/>
    <w:semiHidden/>
    <w:rsid w:val="0075610E"/>
    <w:rPr>
      <w:rFonts w:ascii="Tahoma" w:hAnsi="Tahoma" w:cs="Tahoma"/>
      <w:sz w:val="16"/>
      <w:szCs w:val="16"/>
    </w:rPr>
  </w:style>
  <w:style w:type="character" w:customStyle="1" w:styleId="UnresolvedMention">
    <w:name w:val="Unresolved Mention"/>
    <w:basedOn w:val="DefaultParagraphFont"/>
    <w:uiPriority w:val="99"/>
    <w:semiHidden/>
    <w:unhideWhenUsed/>
    <w:rsid w:val="00771E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pd.tire@dnr.g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85E8-278E-44A0-B857-651520D4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Generator information sheet</vt:lpstr>
    </vt:vector>
  </TitlesOfParts>
  <Company>Ga.DNR</Company>
  <LinksUpToDate>false</LinksUpToDate>
  <CharactersWithSpaces>1737</CharactersWithSpaces>
  <SharedDoc>false</SharedDoc>
  <HLinks>
    <vt:vector size="6" baseType="variant">
      <vt:variant>
        <vt:i4>8323181</vt:i4>
      </vt:variant>
      <vt:variant>
        <vt:i4>0</vt:i4>
      </vt:variant>
      <vt:variant>
        <vt:i4>0</vt:i4>
      </vt:variant>
      <vt:variant>
        <vt:i4>5</vt:i4>
      </vt:variant>
      <vt:variant>
        <vt:lpwstr>http://www.dnr.state.ga.us/environ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Generator information sheet</dc:title>
  <dc:creator>EPD</dc:creator>
  <cp:lastModifiedBy>Lancaster, Jamie</cp:lastModifiedBy>
  <cp:revision>2</cp:revision>
  <cp:lastPrinted>2010-09-09T20:11:00Z</cp:lastPrinted>
  <dcterms:created xsi:type="dcterms:W3CDTF">2018-06-07T19:14:00Z</dcterms:created>
  <dcterms:modified xsi:type="dcterms:W3CDTF">2018-06-07T19:14:00Z</dcterms:modified>
</cp:coreProperties>
</file>