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78" w:rsidRPr="001157A6" w:rsidRDefault="00B14AF2" w:rsidP="00AB0344">
      <w:pPr>
        <w:pBdr>
          <w:bottom w:val="double" w:sz="4" w:space="1" w:color="auto"/>
        </w:pBd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center"/>
        <w:rPr>
          <w:rFonts w:asciiTheme="minorHAnsi" w:hAnsiTheme="minorHAnsi" w:cstheme="minorHAnsi"/>
          <w:b/>
          <w:bCs/>
        </w:rPr>
      </w:pPr>
      <w:r w:rsidRPr="001157A6">
        <w:rPr>
          <w:rFonts w:asciiTheme="minorHAnsi" w:hAnsiTheme="minorHAnsi" w:cstheme="minorHAnsi"/>
          <w:b/>
          <w:bCs/>
        </w:rPr>
        <w:t>DRINKING WATER LABORATORY SERVICES</w:t>
      </w:r>
      <w:r w:rsidR="00AB0344" w:rsidRPr="001157A6">
        <w:rPr>
          <w:rFonts w:asciiTheme="minorHAnsi" w:hAnsiTheme="minorHAnsi" w:cstheme="minorHAnsi"/>
          <w:b/>
          <w:bCs/>
        </w:rPr>
        <w:t xml:space="preserve"> </w:t>
      </w:r>
    </w:p>
    <w:p w:rsidR="005A2115" w:rsidRDefault="00577400" w:rsidP="00AB0344">
      <w:pPr>
        <w:pBdr>
          <w:bottom w:val="double" w:sz="4" w:space="1" w:color="auto"/>
        </w:pBd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center"/>
        <w:rPr>
          <w:rFonts w:asciiTheme="minorHAnsi" w:hAnsiTheme="minorHAnsi" w:cstheme="minorHAnsi"/>
          <w:b/>
          <w:bCs/>
        </w:rPr>
      </w:pPr>
      <w:r w:rsidRPr="001157A6">
        <w:rPr>
          <w:rFonts w:asciiTheme="minorHAnsi" w:hAnsiTheme="minorHAnsi" w:cstheme="minorHAnsi"/>
          <w:b/>
          <w:bCs/>
        </w:rPr>
        <w:t>TERMS AND CONDITIONS</w:t>
      </w:r>
    </w:p>
    <w:p w:rsidR="0081095B" w:rsidRPr="001157A6" w:rsidRDefault="0081095B" w:rsidP="00AB0344">
      <w:pPr>
        <w:pBdr>
          <w:bottom w:val="double" w:sz="4" w:space="1" w:color="auto"/>
        </w:pBd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(Effective July 1, 2016)</w:t>
      </w:r>
    </w:p>
    <w:p w:rsidR="00654C70" w:rsidRPr="00CE09BB" w:rsidRDefault="00654C70" w:rsidP="00B14AF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09BB">
        <w:rPr>
          <w:rFonts w:asciiTheme="minorHAnsi" w:hAnsiTheme="minorHAnsi" w:cstheme="minorHAnsi"/>
          <w:b/>
          <w:bCs/>
          <w:sz w:val="22"/>
          <w:szCs w:val="22"/>
        </w:rPr>
        <w:t xml:space="preserve">LABORATORY ANALYSES </w:t>
      </w:r>
    </w:p>
    <w:p w:rsidR="00AA2143" w:rsidRDefault="00572DF1" w:rsidP="00B14AF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Upon request and for payment of an annual charge, t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he Georgia Department of Natural Resources Environmental Protection Division (“EPD”) </w:t>
      </w:r>
      <w:r>
        <w:rPr>
          <w:rFonts w:asciiTheme="minorHAnsi" w:hAnsiTheme="minorHAnsi" w:cstheme="minorHAnsi"/>
          <w:bCs/>
          <w:sz w:val="22"/>
          <w:szCs w:val="22"/>
        </w:rPr>
        <w:t>will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 perform the </w:t>
      </w:r>
      <w:r w:rsidR="00AA2143">
        <w:rPr>
          <w:rFonts w:asciiTheme="minorHAnsi" w:hAnsiTheme="minorHAnsi" w:cstheme="minorHAnsi"/>
          <w:bCs/>
          <w:sz w:val="22"/>
          <w:szCs w:val="22"/>
        </w:rPr>
        <w:t>laboratory analys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AA2143">
        <w:rPr>
          <w:rFonts w:asciiTheme="minorHAnsi" w:hAnsiTheme="minorHAnsi" w:cstheme="minorHAnsi"/>
          <w:bCs/>
          <w:sz w:val="22"/>
          <w:szCs w:val="22"/>
        </w:rPr>
        <w:t xml:space="preserve">s and related 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services </w:t>
      </w:r>
      <w:r w:rsidR="00AA2143">
        <w:rPr>
          <w:rFonts w:asciiTheme="minorHAnsi" w:hAnsiTheme="minorHAnsi" w:cstheme="minorHAnsi"/>
          <w:bCs/>
          <w:sz w:val="22"/>
          <w:szCs w:val="22"/>
        </w:rPr>
        <w:t xml:space="preserve">required by the 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t>Georgia Safe Drinking Water Act of 1977 (“Act”), O.C.G.A. § 12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noBreakHyphen/>
        <w:t>5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noBreakHyphen/>
        <w:t xml:space="preserve">170, </w:t>
      </w:r>
      <w:r w:rsidR="00AA2143" w:rsidRPr="001157A6">
        <w:rPr>
          <w:rFonts w:asciiTheme="minorHAnsi" w:hAnsiTheme="minorHAnsi" w:cstheme="minorHAnsi"/>
          <w:bCs/>
          <w:i/>
          <w:sz w:val="22"/>
          <w:szCs w:val="22"/>
        </w:rPr>
        <w:t>et seq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t>., and the Rules for Safe Drinking Water (“Rules”), Chapter 391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noBreakHyphen/>
        <w:t>3</w:t>
      </w:r>
      <w:r w:rsidR="00AA2143" w:rsidRPr="001157A6">
        <w:rPr>
          <w:rFonts w:asciiTheme="minorHAnsi" w:hAnsiTheme="minorHAnsi" w:cstheme="minorHAnsi"/>
          <w:bCs/>
          <w:sz w:val="22"/>
          <w:szCs w:val="22"/>
        </w:rPr>
        <w:noBreakHyphen/>
        <w:t>5</w:t>
      </w:r>
      <w:r w:rsidR="00AA2143">
        <w:rPr>
          <w:rFonts w:asciiTheme="minorHAnsi" w:hAnsiTheme="minorHAnsi" w:cstheme="minorHAnsi"/>
          <w:bCs/>
          <w:sz w:val="22"/>
          <w:szCs w:val="22"/>
        </w:rPr>
        <w:t>, except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="00AA2143">
        <w:rPr>
          <w:rFonts w:asciiTheme="minorHAnsi" w:hAnsiTheme="minorHAnsi" w:cstheme="minorHAnsi"/>
          <w:bCs/>
          <w:sz w:val="22"/>
          <w:szCs w:val="22"/>
        </w:rPr>
        <w:t xml:space="preserve"> analyses for Bromate and Chlorite</w:t>
      </w:r>
      <w:r w:rsidR="00577400" w:rsidRPr="00B954F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954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1AC1" w:rsidRPr="00B954F5">
        <w:rPr>
          <w:rFonts w:asciiTheme="minorHAnsi" w:hAnsiTheme="minorHAnsi" w:cstheme="minorHAnsi"/>
          <w:bCs/>
          <w:sz w:val="22"/>
          <w:szCs w:val="22"/>
        </w:rPr>
        <w:t xml:space="preserve">An 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owner </w:t>
      </w:r>
      <w:r w:rsidR="007D1AC1" w:rsidRPr="00B954F5">
        <w:rPr>
          <w:rFonts w:asciiTheme="minorHAnsi" w:hAnsiTheme="minorHAnsi" w:cstheme="minorHAnsi"/>
          <w:bCs/>
          <w:sz w:val="22"/>
          <w:szCs w:val="22"/>
        </w:rPr>
        <w:t xml:space="preserve">of a public water system 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(“owner”) </w:t>
      </w:r>
      <w:r w:rsidRPr="00B954F5">
        <w:rPr>
          <w:rFonts w:asciiTheme="minorHAnsi" w:hAnsiTheme="minorHAnsi" w:cstheme="minorHAnsi"/>
          <w:bCs/>
          <w:sz w:val="22"/>
          <w:szCs w:val="22"/>
        </w:rPr>
        <w:t xml:space="preserve">accepts the Terms and Conditions herein and 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authorizes the </w:t>
      </w:r>
      <w:r w:rsidR="00577400" w:rsidRPr="00B954F5">
        <w:rPr>
          <w:rFonts w:asciiTheme="minorHAnsi" w:hAnsiTheme="minorHAnsi" w:cstheme="minorHAnsi"/>
          <w:bCs/>
          <w:sz w:val="22"/>
          <w:szCs w:val="22"/>
        </w:rPr>
        <w:t>EPD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 to complete </w:t>
      </w:r>
      <w:r w:rsidR="00C14314" w:rsidRPr="00B954F5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>laboratory analys</w:t>
      </w:r>
      <w:r w:rsidRPr="00B954F5">
        <w:rPr>
          <w:rFonts w:asciiTheme="minorHAnsi" w:hAnsiTheme="minorHAnsi" w:cstheme="minorHAnsi"/>
          <w:bCs/>
          <w:sz w:val="22"/>
          <w:szCs w:val="22"/>
        </w:rPr>
        <w:t>e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s and related services </w:t>
      </w:r>
      <w:r w:rsidRPr="00B954F5">
        <w:rPr>
          <w:rFonts w:asciiTheme="minorHAnsi" w:hAnsiTheme="minorHAnsi" w:cstheme="minorHAnsi"/>
          <w:bCs/>
          <w:sz w:val="22"/>
          <w:szCs w:val="22"/>
        </w:rPr>
        <w:t xml:space="preserve">requested </w:t>
      </w:r>
      <w:r w:rsidR="00B14AF2" w:rsidRPr="00B954F5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9523DD" w:rsidRPr="00B954F5">
        <w:rPr>
          <w:rFonts w:asciiTheme="minorHAnsi" w:hAnsiTheme="minorHAnsi" w:cstheme="minorHAnsi"/>
          <w:bCs/>
          <w:sz w:val="22"/>
          <w:szCs w:val="22"/>
        </w:rPr>
        <w:t>a</w:t>
      </w:r>
      <w:r w:rsidR="00F32E78" w:rsidRPr="00B954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23DD" w:rsidRPr="00B954F5">
        <w:rPr>
          <w:rFonts w:asciiTheme="minorHAnsi" w:hAnsiTheme="minorHAnsi" w:cstheme="minorHAnsi"/>
          <w:bCs/>
          <w:sz w:val="22"/>
          <w:szCs w:val="22"/>
        </w:rPr>
        <w:t xml:space="preserve">12 month </w:t>
      </w:r>
      <w:r w:rsidR="00F32E78" w:rsidRPr="00B954F5">
        <w:rPr>
          <w:rFonts w:asciiTheme="minorHAnsi" w:hAnsiTheme="minorHAnsi" w:cstheme="minorHAnsi"/>
          <w:bCs/>
          <w:sz w:val="22"/>
          <w:szCs w:val="22"/>
        </w:rPr>
        <w:t>pe</w:t>
      </w:r>
      <w:r w:rsidR="00F32E78" w:rsidRPr="001157A6">
        <w:rPr>
          <w:rFonts w:asciiTheme="minorHAnsi" w:hAnsiTheme="minorHAnsi" w:cstheme="minorHAnsi"/>
          <w:bCs/>
          <w:sz w:val="22"/>
          <w:szCs w:val="22"/>
        </w:rPr>
        <w:t xml:space="preserve">riod </w:t>
      </w:r>
      <w:r w:rsidR="009523DD">
        <w:rPr>
          <w:rFonts w:asciiTheme="minorHAnsi" w:hAnsiTheme="minorHAnsi" w:cstheme="minorHAnsi"/>
          <w:bCs/>
          <w:sz w:val="22"/>
          <w:szCs w:val="22"/>
        </w:rPr>
        <w:t>from</w:t>
      </w:r>
      <w:r w:rsidR="00F32E78" w:rsidRPr="001157A6">
        <w:rPr>
          <w:rFonts w:asciiTheme="minorHAnsi" w:hAnsiTheme="minorHAnsi" w:cstheme="minorHAnsi"/>
          <w:bCs/>
          <w:sz w:val="22"/>
          <w:szCs w:val="22"/>
        </w:rPr>
        <w:t xml:space="preserve"> July 1</w:t>
      </w:r>
      <w:r w:rsidR="009523DD">
        <w:rPr>
          <w:rFonts w:asciiTheme="minorHAnsi" w:hAnsiTheme="minorHAnsi" w:cstheme="minorHAnsi"/>
          <w:bCs/>
          <w:sz w:val="22"/>
          <w:szCs w:val="22"/>
        </w:rPr>
        <w:t>st</w:t>
      </w:r>
      <w:r w:rsidR="00F32E78" w:rsidRPr="001157A6">
        <w:rPr>
          <w:rFonts w:asciiTheme="minorHAnsi" w:hAnsiTheme="minorHAnsi" w:cstheme="minorHAnsi"/>
          <w:bCs/>
          <w:sz w:val="22"/>
          <w:szCs w:val="22"/>
        </w:rPr>
        <w:t xml:space="preserve"> to June 30</w:t>
      </w:r>
      <w:r w:rsidR="009523DD" w:rsidRPr="00CE09BB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174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2428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174B95">
        <w:rPr>
          <w:rFonts w:asciiTheme="minorHAnsi" w:hAnsiTheme="minorHAnsi" w:cstheme="minorHAnsi"/>
          <w:bCs/>
          <w:sz w:val="22"/>
          <w:szCs w:val="22"/>
        </w:rPr>
        <w:t xml:space="preserve">continuing </w:t>
      </w:r>
      <w:r w:rsidR="00502D65">
        <w:rPr>
          <w:rFonts w:asciiTheme="minorHAnsi" w:hAnsiTheme="minorHAnsi" w:cstheme="minorHAnsi"/>
          <w:bCs/>
          <w:sz w:val="22"/>
          <w:szCs w:val="22"/>
        </w:rPr>
        <w:t xml:space="preserve">from </w:t>
      </w:r>
      <w:r w:rsidR="00174B95">
        <w:rPr>
          <w:rFonts w:asciiTheme="minorHAnsi" w:hAnsiTheme="minorHAnsi" w:cstheme="minorHAnsi"/>
          <w:bCs/>
          <w:sz w:val="22"/>
          <w:szCs w:val="22"/>
        </w:rPr>
        <w:t>year to year as set out below</w:t>
      </w:r>
      <w:r w:rsidR="007D1AC1">
        <w:rPr>
          <w:rFonts w:asciiTheme="minorHAnsi" w:hAnsiTheme="minorHAnsi" w:cstheme="minorHAnsi"/>
          <w:bCs/>
          <w:sz w:val="22"/>
          <w:szCs w:val="22"/>
        </w:rPr>
        <w:t>, through the submission of sample containers for the water system to the EPD for analysis</w:t>
      </w:r>
      <w:r w:rsidR="00E518CB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A2143">
        <w:rPr>
          <w:rFonts w:asciiTheme="minorHAnsi" w:hAnsiTheme="minorHAnsi" w:cstheme="minorHAnsi"/>
          <w:bCs/>
          <w:sz w:val="22"/>
          <w:szCs w:val="22"/>
        </w:rPr>
        <w:t>In addition to performing the laboratory analys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AA2143">
        <w:rPr>
          <w:rFonts w:asciiTheme="minorHAnsi" w:hAnsiTheme="minorHAnsi" w:cstheme="minorHAnsi"/>
          <w:bCs/>
          <w:sz w:val="22"/>
          <w:szCs w:val="22"/>
        </w:rPr>
        <w:t>s, the EPD will provide containers and instructions for sampling as well as assume costs of mailing the sampling containers to the address provided by the owner.</w:t>
      </w:r>
      <w:r w:rsidR="00B30C22" w:rsidRPr="00B30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1A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0C22" w:rsidRPr="001157A6">
        <w:rPr>
          <w:rFonts w:asciiTheme="minorHAnsi" w:hAnsiTheme="minorHAnsi" w:cstheme="minorHAnsi"/>
          <w:bCs/>
          <w:sz w:val="22"/>
          <w:szCs w:val="22"/>
        </w:rPr>
        <w:t xml:space="preserve">If </w:t>
      </w:r>
      <w:r w:rsidR="00C253A5">
        <w:rPr>
          <w:rFonts w:asciiTheme="minorHAnsi" w:hAnsiTheme="minorHAnsi" w:cstheme="minorHAnsi"/>
          <w:bCs/>
          <w:sz w:val="22"/>
          <w:szCs w:val="22"/>
        </w:rPr>
        <w:t>a</w:t>
      </w:r>
      <w:r w:rsidR="007D1A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2428">
        <w:rPr>
          <w:rFonts w:asciiTheme="minorHAnsi" w:hAnsiTheme="minorHAnsi" w:cstheme="minorHAnsi"/>
          <w:bCs/>
          <w:sz w:val="22"/>
          <w:szCs w:val="22"/>
        </w:rPr>
        <w:t xml:space="preserve">water </w:t>
      </w:r>
      <w:r w:rsidR="007D1AC1"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r w:rsidR="00B30C22" w:rsidRPr="001157A6">
        <w:rPr>
          <w:rFonts w:asciiTheme="minorHAnsi" w:hAnsiTheme="minorHAnsi" w:cstheme="minorHAnsi"/>
          <w:bCs/>
          <w:sz w:val="22"/>
          <w:szCs w:val="22"/>
        </w:rPr>
        <w:t xml:space="preserve">chooses to ship samples to the </w:t>
      </w:r>
      <w:r w:rsidR="00C253A5">
        <w:rPr>
          <w:rFonts w:asciiTheme="minorHAnsi" w:hAnsiTheme="minorHAnsi" w:cstheme="minorHAnsi"/>
          <w:bCs/>
          <w:sz w:val="22"/>
          <w:szCs w:val="22"/>
        </w:rPr>
        <w:t xml:space="preserve">EPD </w:t>
      </w:r>
      <w:r w:rsidR="00B30C22" w:rsidRPr="001157A6">
        <w:rPr>
          <w:rFonts w:asciiTheme="minorHAnsi" w:hAnsiTheme="minorHAnsi" w:cstheme="minorHAnsi"/>
          <w:bCs/>
          <w:sz w:val="22"/>
          <w:szCs w:val="22"/>
        </w:rPr>
        <w:t>laboratory for analysis, the owner is responsible for the cost of shipping those samples</w:t>
      </w:r>
      <w:r w:rsidR="00B30C22">
        <w:rPr>
          <w:rFonts w:asciiTheme="minorHAnsi" w:hAnsiTheme="minorHAnsi" w:cstheme="minorHAnsi"/>
          <w:bCs/>
          <w:sz w:val="22"/>
          <w:szCs w:val="22"/>
        </w:rPr>
        <w:t xml:space="preserve"> in containers provided by the EPD</w:t>
      </w:r>
      <w:r w:rsidR="00B30C22" w:rsidRPr="001157A6">
        <w:rPr>
          <w:rFonts w:asciiTheme="minorHAnsi" w:hAnsiTheme="minorHAnsi" w:cstheme="minorHAnsi"/>
          <w:bCs/>
          <w:sz w:val="22"/>
          <w:szCs w:val="22"/>
        </w:rPr>
        <w:t>.</w:t>
      </w:r>
    </w:p>
    <w:p w:rsidR="00AA2143" w:rsidRPr="001157A6" w:rsidRDefault="00AA2143" w:rsidP="00B14AF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Cs/>
          <w:sz w:val="22"/>
          <w:szCs w:val="22"/>
        </w:rPr>
      </w:pPr>
    </w:p>
    <w:p w:rsidR="00654C70" w:rsidRPr="00CE09BB" w:rsidRDefault="00654C70" w:rsidP="00DF2C3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09BB">
        <w:rPr>
          <w:rFonts w:asciiTheme="minorHAnsi" w:hAnsiTheme="minorHAnsi" w:cstheme="minorHAnsi"/>
          <w:b/>
          <w:bCs/>
          <w:sz w:val="22"/>
          <w:szCs w:val="22"/>
        </w:rPr>
        <w:t>COMPLIANCE</w:t>
      </w:r>
    </w:p>
    <w:p w:rsidR="00DF2C38" w:rsidRPr="001157A6" w:rsidRDefault="00DF2C38" w:rsidP="00DF2C3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Cs/>
          <w:sz w:val="22"/>
          <w:szCs w:val="22"/>
        </w:rPr>
      </w:pPr>
      <w:r w:rsidRPr="001157A6">
        <w:rPr>
          <w:rFonts w:asciiTheme="minorHAnsi" w:hAnsiTheme="minorHAnsi" w:cstheme="minorHAnsi"/>
          <w:bCs/>
          <w:sz w:val="22"/>
          <w:szCs w:val="22"/>
        </w:rPr>
        <w:t xml:space="preserve">The owner acknowledges that compliance with the </w:t>
      </w:r>
      <w:r w:rsidR="00AA2143">
        <w:rPr>
          <w:rFonts w:asciiTheme="minorHAnsi" w:hAnsiTheme="minorHAnsi" w:cstheme="minorHAnsi"/>
          <w:bCs/>
          <w:sz w:val="22"/>
          <w:szCs w:val="22"/>
        </w:rPr>
        <w:t>Act and the Rules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is the responsibility of the own</w:t>
      </w:r>
      <w:r w:rsidR="001157A6" w:rsidRPr="001157A6">
        <w:rPr>
          <w:rFonts w:asciiTheme="minorHAnsi" w:hAnsiTheme="minorHAnsi" w:cstheme="minorHAnsi"/>
          <w:bCs/>
          <w:sz w:val="22"/>
          <w:szCs w:val="22"/>
        </w:rPr>
        <w:t xml:space="preserve">er of the public water system. </w:t>
      </w:r>
      <w:r w:rsidR="00572D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2143">
        <w:rPr>
          <w:rFonts w:asciiTheme="minorHAnsi" w:hAnsiTheme="minorHAnsi" w:cstheme="minorHAnsi"/>
          <w:bCs/>
          <w:sz w:val="22"/>
          <w:szCs w:val="22"/>
        </w:rPr>
        <w:t>Accepting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F4432E">
        <w:rPr>
          <w:rFonts w:asciiTheme="minorHAnsi" w:hAnsiTheme="minorHAnsi" w:cstheme="minorHAnsi"/>
          <w:bCs/>
          <w:sz w:val="22"/>
          <w:szCs w:val="22"/>
        </w:rPr>
        <w:t>T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erms and </w:t>
      </w:r>
      <w:r w:rsidR="00F4432E">
        <w:rPr>
          <w:rFonts w:asciiTheme="minorHAnsi" w:hAnsiTheme="minorHAnsi" w:cstheme="minorHAnsi"/>
          <w:bCs/>
          <w:sz w:val="22"/>
          <w:szCs w:val="22"/>
        </w:rPr>
        <w:t>C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onditions </w:t>
      </w:r>
      <w:r w:rsidR="00572DF1">
        <w:rPr>
          <w:rFonts w:asciiTheme="minorHAnsi" w:hAnsiTheme="minorHAnsi" w:cstheme="minorHAnsi"/>
          <w:bCs/>
          <w:sz w:val="22"/>
          <w:szCs w:val="22"/>
        </w:rPr>
        <w:t xml:space="preserve">herein 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is not a prerequisite to, condition of, or substitute for the permit </w:t>
      </w:r>
      <w:r w:rsidR="001157A6" w:rsidRPr="001157A6">
        <w:rPr>
          <w:rFonts w:asciiTheme="minorHAnsi" w:hAnsiTheme="minorHAnsi" w:cstheme="minorHAnsi"/>
          <w:bCs/>
          <w:sz w:val="22"/>
          <w:szCs w:val="22"/>
        </w:rPr>
        <w:t xml:space="preserve">required for the water system.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Nor will </w:t>
      </w:r>
      <w:r w:rsidR="00CE09BB">
        <w:rPr>
          <w:rFonts w:asciiTheme="minorHAnsi" w:hAnsiTheme="minorHAnsi" w:cstheme="minorHAnsi"/>
          <w:bCs/>
          <w:sz w:val="22"/>
          <w:szCs w:val="22"/>
        </w:rPr>
        <w:t xml:space="preserve">an </w:t>
      </w:r>
      <w:r w:rsidR="00572DF1">
        <w:rPr>
          <w:rFonts w:asciiTheme="minorHAnsi" w:hAnsiTheme="minorHAnsi" w:cstheme="minorHAnsi"/>
          <w:bCs/>
          <w:sz w:val="22"/>
          <w:szCs w:val="22"/>
        </w:rPr>
        <w:t>owner’s acceptance of these Terms and Conditions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prevent </w:t>
      </w:r>
      <w:r w:rsidR="003C3DD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1157A6">
        <w:rPr>
          <w:rFonts w:asciiTheme="minorHAnsi" w:hAnsiTheme="minorHAnsi" w:cstheme="minorHAnsi"/>
          <w:bCs/>
          <w:sz w:val="22"/>
          <w:szCs w:val="22"/>
        </w:rPr>
        <w:t>EPD from fulfilling its regulatory duty to enforce the Act and the Rules; such enforcement actions may include, but are not limited to, failure to monitor violation letters, notices of violations, consent orders, administrative orders</w:t>
      </w:r>
      <w:r w:rsidR="001157A6" w:rsidRPr="001157A6">
        <w:rPr>
          <w:rFonts w:asciiTheme="minorHAnsi" w:hAnsiTheme="minorHAnsi" w:cstheme="minorHAnsi"/>
          <w:bCs/>
          <w:sz w:val="22"/>
          <w:szCs w:val="22"/>
        </w:rPr>
        <w:t>,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and civil penalties as authorized by the Act.</w:t>
      </w:r>
    </w:p>
    <w:p w:rsidR="00BF1725" w:rsidRPr="001157A6" w:rsidRDefault="00BF1725" w:rsidP="00B14AF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Cs/>
          <w:sz w:val="22"/>
          <w:szCs w:val="22"/>
        </w:rPr>
      </w:pPr>
    </w:p>
    <w:p w:rsidR="00F32E78" w:rsidRPr="001157A6" w:rsidRDefault="00F32E78" w:rsidP="001157A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sz w:val="22"/>
          <w:szCs w:val="22"/>
        </w:rPr>
      </w:pPr>
      <w:r w:rsidRPr="001157A6">
        <w:rPr>
          <w:rFonts w:asciiTheme="minorHAnsi" w:hAnsiTheme="minorHAnsi" w:cstheme="minorHAnsi"/>
          <w:b/>
          <w:sz w:val="22"/>
          <w:szCs w:val="22"/>
        </w:rPr>
        <w:t>PAYMENT</w:t>
      </w:r>
    </w:p>
    <w:p w:rsidR="00577400" w:rsidRPr="001157A6" w:rsidRDefault="00F32E78" w:rsidP="00F32E7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Cs/>
          <w:sz w:val="22"/>
          <w:szCs w:val="22"/>
        </w:rPr>
      </w:pPr>
      <w:r w:rsidRPr="001157A6">
        <w:rPr>
          <w:rFonts w:asciiTheme="minorHAnsi" w:hAnsiTheme="minorHAnsi" w:cstheme="minorHAnsi"/>
          <w:bCs/>
          <w:sz w:val="22"/>
          <w:szCs w:val="22"/>
        </w:rPr>
        <w:t xml:space="preserve">The owner is responsible for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payment of the </w:t>
      </w:r>
      <w:r w:rsidR="009523DD">
        <w:rPr>
          <w:rFonts w:asciiTheme="minorHAnsi" w:hAnsiTheme="minorHAnsi" w:cstheme="minorHAnsi"/>
          <w:bCs/>
          <w:sz w:val="22"/>
          <w:szCs w:val="22"/>
        </w:rPr>
        <w:t xml:space="preserve">annual </w:t>
      </w:r>
      <w:r w:rsidRPr="001157A6">
        <w:rPr>
          <w:rFonts w:asciiTheme="minorHAnsi" w:hAnsiTheme="minorHAnsi" w:cstheme="minorHAnsi"/>
          <w:bCs/>
          <w:sz w:val="22"/>
          <w:szCs w:val="22"/>
        </w:rPr>
        <w:t>charge</w:t>
      </w:r>
      <w:r w:rsidR="00C14314">
        <w:rPr>
          <w:rFonts w:asciiTheme="minorHAnsi" w:hAnsiTheme="minorHAnsi" w:cstheme="minorHAnsi"/>
          <w:bCs/>
          <w:sz w:val="22"/>
          <w:szCs w:val="22"/>
        </w:rPr>
        <w:t>(</w:t>
      </w:r>
      <w:r w:rsidRPr="001157A6">
        <w:rPr>
          <w:rFonts w:asciiTheme="minorHAnsi" w:hAnsiTheme="minorHAnsi" w:cstheme="minorHAnsi"/>
          <w:bCs/>
          <w:sz w:val="22"/>
          <w:szCs w:val="22"/>
        </w:rPr>
        <w:t>s</w:t>
      </w:r>
      <w:r w:rsidR="00C14314">
        <w:rPr>
          <w:rFonts w:asciiTheme="minorHAnsi" w:hAnsiTheme="minorHAnsi" w:cstheme="minorHAnsi"/>
          <w:bCs/>
          <w:sz w:val="22"/>
          <w:szCs w:val="22"/>
        </w:rPr>
        <w:t>)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related to the </w:t>
      </w:r>
      <w:r w:rsidR="00F4432E">
        <w:rPr>
          <w:rFonts w:asciiTheme="minorHAnsi" w:hAnsiTheme="minorHAnsi" w:cstheme="minorHAnsi"/>
          <w:bCs/>
          <w:sz w:val="22"/>
          <w:szCs w:val="22"/>
        </w:rPr>
        <w:t>requested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laboratory</w:t>
      </w:r>
      <w:r w:rsidR="006127B6">
        <w:rPr>
          <w:rFonts w:asciiTheme="minorHAnsi" w:hAnsiTheme="minorHAnsi" w:cstheme="minorHAnsi"/>
          <w:bCs/>
          <w:sz w:val="22"/>
          <w:szCs w:val="22"/>
        </w:rPr>
        <w:t xml:space="preserve"> analys</w:t>
      </w:r>
      <w:r w:rsidR="009575D3">
        <w:rPr>
          <w:rFonts w:asciiTheme="minorHAnsi" w:hAnsiTheme="minorHAnsi" w:cstheme="minorHAnsi"/>
          <w:bCs/>
          <w:sz w:val="22"/>
          <w:szCs w:val="22"/>
        </w:rPr>
        <w:t>e</w:t>
      </w:r>
      <w:r w:rsidR="006127B6">
        <w:rPr>
          <w:rFonts w:asciiTheme="minorHAnsi" w:hAnsiTheme="minorHAnsi" w:cstheme="minorHAnsi"/>
          <w:bCs/>
          <w:sz w:val="22"/>
          <w:szCs w:val="22"/>
        </w:rPr>
        <w:t>s and related services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and will be billed accordingly with payment due within 30 </w:t>
      </w:r>
      <w:r w:rsidR="00AC2D66" w:rsidRPr="001157A6">
        <w:rPr>
          <w:rFonts w:asciiTheme="minorHAnsi" w:hAnsiTheme="minorHAnsi" w:cstheme="minorHAnsi"/>
          <w:bCs/>
          <w:sz w:val="22"/>
          <w:szCs w:val="22"/>
        </w:rPr>
        <w:t xml:space="preserve">business </w:t>
      </w:r>
      <w:r w:rsidRPr="001157A6">
        <w:rPr>
          <w:rFonts w:asciiTheme="minorHAnsi" w:hAnsiTheme="minorHAnsi" w:cstheme="minorHAnsi"/>
          <w:bCs/>
          <w:sz w:val="22"/>
          <w:szCs w:val="22"/>
        </w:rPr>
        <w:t>days of the invoice</w:t>
      </w:r>
      <w:r w:rsidR="00AC2D66" w:rsidRPr="001157A6">
        <w:rPr>
          <w:rFonts w:asciiTheme="minorHAnsi" w:hAnsiTheme="minorHAnsi" w:cstheme="minorHAnsi"/>
          <w:bCs/>
          <w:sz w:val="22"/>
          <w:szCs w:val="22"/>
        </w:rPr>
        <w:t xml:space="preserve"> date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443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FA5B3F" w:rsidRPr="001157A6">
        <w:rPr>
          <w:rFonts w:asciiTheme="minorHAnsi" w:hAnsiTheme="minorHAnsi" w:cstheme="minorHAnsi"/>
          <w:bCs/>
          <w:sz w:val="22"/>
          <w:szCs w:val="22"/>
        </w:rPr>
        <w:t xml:space="preserve">EPD’s annual </w:t>
      </w:r>
      <w:r w:rsidR="00C14314">
        <w:rPr>
          <w:rFonts w:asciiTheme="minorHAnsi" w:hAnsiTheme="minorHAnsi" w:cstheme="minorHAnsi"/>
          <w:bCs/>
          <w:sz w:val="22"/>
          <w:szCs w:val="22"/>
        </w:rPr>
        <w:t>charges</w:t>
      </w:r>
      <w:r w:rsidR="00FA5B3F" w:rsidRPr="001157A6">
        <w:rPr>
          <w:rFonts w:asciiTheme="minorHAnsi" w:hAnsiTheme="minorHAnsi" w:cstheme="minorHAnsi"/>
          <w:bCs/>
          <w:sz w:val="22"/>
          <w:szCs w:val="22"/>
        </w:rPr>
        <w:t xml:space="preserve"> for laboratory </w:t>
      </w:r>
      <w:r w:rsidR="00F4432E">
        <w:rPr>
          <w:rFonts w:asciiTheme="minorHAnsi" w:hAnsiTheme="minorHAnsi" w:cstheme="minorHAnsi"/>
          <w:bCs/>
          <w:sz w:val="22"/>
          <w:szCs w:val="22"/>
        </w:rPr>
        <w:t xml:space="preserve">analyses </w:t>
      </w:r>
      <w:r w:rsidR="00FA5B3F" w:rsidRPr="001157A6">
        <w:rPr>
          <w:rFonts w:asciiTheme="minorHAnsi" w:hAnsiTheme="minorHAnsi" w:cstheme="minorHAnsi"/>
          <w:bCs/>
          <w:sz w:val="22"/>
          <w:szCs w:val="22"/>
        </w:rPr>
        <w:t>and related services are available on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="00FA5B3F" w:rsidRPr="001157A6">
        <w:rPr>
          <w:rFonts w:asciiTheme="minorHAnsi" w:hAnsiTheme="minorHAnsi" w:cstheme="minorHAnsi"/>
          <w:bCs/>
          <w:sz w:val="22"/>
          <w:szCs w:val="22"/>
        </w:rPr>
        <w:t xml:space="preserve"> EPD’s website at the following location: </w:t>
      </w:r>
      <w:r w:rsidR="0074437B" w:rsidRPr="0074437B">
        <w:rPr>
          <w:rFonts w:asciiTheme="minorHAnsi" w:hAnsiTheme="minorHAnsi" w:cstheme="minorHAnsi"/>
          <w:bCs/>
          <w:sz w:val="22"/>
          <w:szCs w:val="22"/>
        </w:rPr>
        <w:t>http://epd.georgia.gov/drinking-water-forms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The annual </w:t>
      </w:r>
      <w:r w:rsidR="00C14314">
        <w:rPr>
          <w:rFonts w:asciiTheme="minorHAnsi" w:hAnsiTheme="minorHAnsi" w:cstheme="minorHAnsi"/>
          <w:bCs/>
          <w:sz w:val="22"/>
          <w:szCs w:val="22"/>
        </w:rPr>
        <w:t>charges</w:t>
      </w:r>
      <w:r w:rsidR="00577400" w:rsidRPr="001157A6">
        <w:rPr>
          <w:rFonts w:asciiTheme="minorHAnsi" w:hAnsiTheme="minorHAnsi" w:cstheme="minorHAnsi"/>
          <w:bCs/>
          <w:sz w:val="22"/>
          <w:szCs w:val="22"/>
        </w:rPr>
        <w:t xml:space="preserve"> are subject to change each year.</w:t>
      </w:r>
      <w:r w:rsidR="000E4A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3DD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8254DB">
        <w:rPr>
          <w:rFonts w:asciiTheme="minorHAnsi" w:hAnsiTheme="minorHAnsi" w:cstheme="minorHAnsi"/>
          <w:bCs/>
          <w:sz w:val="22"/>
          <w:szCs w:val="22"/>
        </w:rPr>
        <w:t xml:space="preserve">EPD reserves the right to </w:t>
      </w:r>
      <w:r w:rsidR="001E1827">
        <w:rPr>
          <w:rFonts w:asciiTheme="minorHAnsi" w:hAnsiTheme="minorHAnsi" w:cstheme="minorHAnsi"/>
          <w:bCs/>
          <w:sz w:val="22"/>
          <w:szCs w:val="22"/>
        </w:rPr>
        <w:t xml:space="preserve">terminate and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stop performing or to </w:t>
      </w:r>
      <w:r w:rsidRPr="008254DB">
        <w:rPr>
          <w:rFonts w:asciiTheme="minorHAnsi" w:hAnsiTheme="minorHAnsi" w:cstheme="minorHAnsi"/>
          <w:bCs/>
          <w:sz w:val="22"/>
          <w:szCs w:val="22"/>
        </w:rPr>
        <w:t xml:space="preserve">refuse services due to </w:t>
      </w:r>
      <w:r w:rsidR="00C14314">
        <w:rPr>
          <w:rFonts w:asciiTheme="minorHAnsi" w:hAnsiTheme="minorHAnsi" w:cstheme="minorHAnsi"/>
          <w:bCs/>
          <w:sz w:val="22"/>
          <w:szCs w:val="22"/>
        </w:rPr>
        <w:t>an</w:t>
      </w:r>
      <w:r w:rsidRPr="008254DB">
        <w:rPr>
          <w:rFonts w:asciiTheme="minorHAnsi" w:hAnsiTheme="minorHAnsi" w:cstheme="minorHAnsi"/>
          <w:bCs/>
          <w:sz w:val="22"/>
          <w:szCs w:val="22"/>
        </w:rPr>
        <w:t xml:space="preserve"> owner’s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failure to timely pay in whole or </w:t>
      </w:r>
      <w:r w:rsidR="009575D3"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C14314">
        <w:rPr>
          <w:rFonts w:asciiTheme="minorHAnsi" w:hAnsiTheme="minorHAnsi" w:cstheme="minorHAnsi"/>
          <w:bCs/>
          <w:sz w:val="22"/>
          <w:szCs w:val="22"/>
        </w:rPr>
        <w:t>part</w:t>
      </w:r>
      <w:r w:rsidRPr="008254D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0C22">
        <w:rPr>
          <w:rFonts w:asciiTheme="minorHAnsi" w:hAnsiTheme="minorHAnsi" w:cstheme="minorHAnsi"/>
          <w:bCs/>
          <w:sz w:val="22"/>
          <w:szCs w:val="22"/>
        </w:rPr>
        <w:t xml:space="preserve">Past </w:t>
      </w:r>
      <w:r w:rsidRPr="00125692">
        <w:rPr>
          <w:rFonts w:asciiTheme="minorHAnsi" w:hAnsiTheme="minorHAnsi" w:cstheme="minorHAnsi"/>
          <w:bCs/>
          <w:sz w:val="22"/>
          <w:szCs w:val="22"/>
        </w:rPr>
        <w:t xml:space="preserve">due accounts </w:t>
      </w:r>
      <w:bookmarkStart w:id="0" w:name="_GoBack"/>
      <w:bookmarkEnd w:id="0"/>
      <w:r w:rsidRPr="00125692">
        <w:rPr>
          <w:rFonts w:asciiTheme="minorHAnsi" w:hAnsiTheme="minorHAnsi" w:cstheme="minorHAnsi"/>
          <w:bCs/>
          <w:sz w:val="22"/>
          <w:szCs w:val="22"/>
        </w:rPr>
        <w:t>wi</w:t>
      </w:r>
      <w:r w:rsidR="000C7104" w:rsidRPr="00125692">
        <w:rPr>
          <w:rFonts w:asciiTheme="minorHAnsi" w:hAnsiTheme="minorHAnsi" w:cstheme="minorHAnsi"/>
          <w:bCs/>
          <w:sz w:val="22"/>
          <w:szCs w:val="22"/>
        </w:rPr>
        <w:t xml:space="preserve">ll be subject to a </w:t>
      </w:r>
      <w:r w:rsidR="000F4DAF" w:rsidRPr="00125692">
        <w:rPr>
          <w:rFonts w:asciiTheme="minorHAnsi" w:hAnsiTheme="minorHAnsi" w:cstheme="minorHAnsi"/>
          <w:bCs/>
          <w:sz w:val="22"/>
          <w:szCs w:val="22"/>
        </w:rPr>
        <w:t>penalty charge</w:t>
      </w:r>
      <w:r w:rsidRPr="00125692">
        <w:rPr>
          <w:rFonts w:asciiTheme="minorHAnsi" w:hAnsiTheme="minorHAnsi" w:cstheme="minorHAnsi"/>
          <w:bCs/>
          <w:sz w:val="22"/>
          <w:szCs w:val="22"/>
        </w:rPr>
        <w:t xml:space="preserve"> of 1.5% per month and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may be sent </w:t>
      </w:r>
      <w:r w:rsidRPr="00125692">
        <w:rPr>
          <w:rFonts w:asciiTheme="minorHAnsi" w:hAnsiTheme="minorHAnsi" w:cstheme="minorHAnsi"/>
          <w:bCs/>
          <w:sz w:val="22"/>
          <w:szCs w:val="22"/>
        </w:rPr>
        <w:t>to collections.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5B3F" w:rsidRPr="008254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D6A72" w:rsidRPr="001157A6" w:rsidRDefault="00577400" w:rsidP="002D6A7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  <w:r w:rsidRPr="001157A6">
        <w:rPr>
          <w:rFonts w:asciiTheme="minorHAnsi" w:hAnsiTheme="minorHAnsi" w:cstheme="minorHAnsi"/>
          <w:bCs/>
          <w:sz w:val="22"/>
          <w:szCs w:val="22"/>
        </w:rPr>
        <w:t xml:space="preserve">Any discrepancies regarding </w:t>
      </w:r>
      <w:r w:rsidR="00C14314">
        <w:rPr>
          <w:rFonts w:asciiTheme="minorHAnsi" w:hAnsiTheme="minorHAnsi" w:cstheme="minorHAnsi"/>
          <w:bCs/>
          <w:sz w:val="22"/>
          <w:szCs w:val="22"/>
        </w:rPr>
        <w:t>charges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must be brought to the attention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486E29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9523DD">
        <w:rPr>
          <w:rFonts w:asciiTheme="minorHAnsi" w:hAnsiTheme="minorHAnsi" w:cstheme="minorHAnsi"/>
          <w:bCs/>
          <w:sz w:val="22"/>
          <w:szCs w:val="22"/>
        </w:rPr>
        <w:t xml:space="preserve">EPD’s Finance Department at </w:t>
      </w:r>
      <w:r w:rsidR="00AA2143">
        <w:rPr>
          <w:rFonts w:asciiTheme="minorHAnsi" w:hAnsiTheme="minorHAnsi" w:cstheme="minorHAnsi"/>
          <w:bCs/>
          <w:sz w:val="22"/>
          <w:szCs w:val="22"/>
        </w:rPr>
        <w:t xml:space="preserve">epdfinance@dnr.ga.gov </w:t>
      </w:r>
      <w:r w:rsidR="006127B6">
        <w:rPr>
          <w:rFonts w:asciiTheme="minorHAnsi" w:hAnsiTheme="minorHAnsi" w:cstheme="minorHAnsi"/>
          <w:bCs/>
          <w:sz w:val="22"/>
          <w:szCs w:val="22"/>
        </w:rPr>
        <w:t>or 404-362-4521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143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Any changes </w:t>
      </w:r>
      <w:r w:rsidR="008F4292">
        <w:rPr>
          <w:rFonts w:asciiTheme="minorHAnsi" w:hAnsiTheme="minorHAnsi" w:cstheme="minorHAnsi"/>
          <w:bCs/>
          <w:sz w:val="22"/>
          <w:szCs w:val="22"/>
        </w:rPr>
        <w:t xml:space="preserve">regarding the water system 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that may reduce the annual </w:t>
      </w:r>
      <w:r w:rsidR="00C14314">
        <w:rPr>
          <w:rFonts w:asciiTheme="minorHAnsi" w:hAnsiTheme="minorHAnsi" w:cstheme="minorHAnsi"/>
          <w:bCs/>
          <w:sz w:val="22"/>
          <w:szCs w:val="22"/>
        </w:rPr>
        <w:t>charge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invoiced will </w:t>
      </w:r>
      <w:r w:rsidRPr="001157A6">
        <w:rPr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Pr="001157A6">
        <w:rPr>
          <w:rFonts w:asciiTheme="minorHAnsi" w:hAnsiTheme="minorHAnsi" w:cstheme="minorHAnsi"/>
          <w:bCs/>
          <w:sz w:val="22"/>
          <w:szCs w:val="22"/>
        </w:rPr>
        <w:t xml:space="preserve"> be taken into consideration until verified by the EPD.</w:t>
      </w:r>
      <w:r w:rsidR="002D6A72">
        <w:rPr>
          <w:rFonts w:asciiTheme="minorHAnsi" w:hAnsiTheme="minorHAnsi" w:cstheme="minorHAnsi"/>
          <w:bCs/>
          <w:sz w:val="22"/>
          <w:szCs w:val="22"/>
        </w:rPr>
        <w:t xml:space="preserve">  Additionally, t</w:t>
      </w:r>
      <w:r w:rsidR="002D6A72" w:rsidRPr="001157A6">
        <w:rPr>
          <w:rFonts w:asciiTheme="minorHAnsi" w:hAnsiTheme="minorHAnsi" w:cstheme="minorHAnsi"/>
          <w:sz w:val="22"/>
          <w:szCs w:val="22"/>
        </w:rPr>
        <w:t xml:space="preserve">he owner </w:t>
      </w:r>
      <w:r w:rsidR="002D6A72">
        <w:rPr>
          <w:rFonts w:asciiTheme="minorHAnsi" w:hAnsiTheme="minorHAnsi" w:cstheme="minorHAnsi"/>
          <w:sz w:val="22"/>
          <w:szCs w:val="22"/>
        </w:rPr>
        <w:t xml:space="preserve">of </w:t>
      </w:r>
      <w:r w:rsidR="007D1AC1">
        <w:rPr>
          <w:rFonts w:asciiTheme="minorHAnsi" w:hAnsiTheme="minorHAnsi" w:cstheme="minorHAnsi"/>
          <w:sz w:val="22"/>
          <w:szCs w:val="22"/>
        </w:rPr>
        <w:t>a</w:t>
      </w:r>
      <w:r w:rsidR="002D6A72">
        <w:rPr>
          <w:rFonts w:asciiTheme="minorHAnsi" w:hAnsiTheme="minorHAnsi" w:cstheme="minorHAnsi"/>
          <w:sz w:val="22"/>
          <w:szCs w:val="22"/>
        </w:rPr>
        <w:t xml:space="preserve"> water system </w:t>
      </w:r>
      <w:r w:rsidR="007D1AC1">
        <w:rPr>
          <w:rFonts w:asciiTheme="minorHAnsi" w:hAnsiTheme="minorHAnsi" w:cstheme="minorHAnsi"/>
          <w:sz w:val="22"/>
          <w:szCs w:val="22"/>
        </w:rPr>
        <w:t>as shown in the</w:t>
      </w:r>
      <w:r w:rsidR="00822428">
        <w:rPr>
          <w:rFonts w:asciiTheme="minorHAnsi" w:hAnsiTheme="minorHAnsi" w:cstheme="minorHAnsi"/>
          <w:sz w:val="22"/>
          <w:szCs w:val="22"/>
        </w:rPr>
        <w:t xml:space="preserve"> EPD’s</w:t>
      </w:r>
      <w:r w:rsidR="007D1AC1">
        <w:rPr>
          <w:rFonts w:asciiTheme="minorHAnsi" w:hAnsiTheme="minorHAnsi" w:cstheme="minorHAnsi"/>
          <w:sz w:val="22"/>
          <w:szCs w:val="22"/>
        </w:rPr>
        <w:t xml:space="preserve"> Safe Drinking Water Information System (SDWIS) shall be</w:t>
      </w:r>
      <w:r w:rsidR="002D6A72" w:rsidRPr="001157A6">
        <w:rPr>
          <w:rFonts w:asciiTheme="minorHAnsi" w:hAnsiTheme="minorHAnsi" w:cstheme="minorHAnsi"/>
          <w:sz w:val="22"/>
          <w:szCs w:val="22"/>
        </w:rPr>
        <w:t xml:space="preserve"> responsible for</w:t>
      </w:r>
      <w:r w:rsidR="002D6A72">
        <w:rPr>
          <w:rFonts w:asciiTheme="minorHAnsi" w:hAnsiTheme="minorHAnsi" w:cstheme="minorHAnsi"/>
          <w:sz w:val="22"/>
          <w:szCs w:val="22"/>
        </w:rPr>
        <w:t xml:space="preserve"> payment of</w:t>
      </w:r>
      <w:r w:rsidR="002D6A72" w:rsidRPr="001157A6">
        <w:rPr>
          <w:rFonts w:asciiTheme="minorHAnsi" w:hAnsiTheme="minorHAnsi" w:cstheme="minorHAnsi"/>
          <w:sz w:val="22"/>
          <w:szCs w:val="22"/>
        </w:rPr>
        <w:t xml:space="preserve"> any balance due to </w:t>
      </w:r>
      <w:r w:rsidR="002D6A72">
        <w:rPr>
          <w:rFonts w:asciiTheme="minorHAnsi" w:hAnsiTheme="minorHAnsi" w:cstheme="minorHAnsi"/>
          <w:sz w:val="22"/>
          <w:szCs w:val="22"/>
        </w:rPr>
        <w:t xml:space="preserve">the </w:t>
      </w:r>
      <w:r w:rsidR="002D6A72" w:rsidRPr="001157A6">
        <w:rPr>
          <w:rFonts w:asciiTheme="minorHAnsi" w:hAnsiTheme="minorHAnsi" w:cstheme="minorHAnsi"/>
          <w:sz w:val="22"/>
          <w:szCs w:val="22"/>
        </w:rPr>
        <w:t xml:space="preserve">EPD </w:t>
      </w:r>
      <w:r w:rsidR="00822428">
        <w:rPr>
          <w:rFonts w:asciiTheme="minorHAnsi" w:hAnsiTheme="minorHAnsi" w:cstheme="minorHAnsi"/>
          <w:sz w:val="22"/>
          <w:szCs w:val="22"/>
        </w:rPr>
        <w:t>until the laboratory analyses and related services for the water system have been terminated as set out below.</w:t>
      </w:r>
    </w:p>
    <w:p w:rsidR="00F32E78" w:rsidRPr="001157A6" w:rsidRDefault="00F32E78" w:rsidP="002038B0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sz w:val="22"/>
          <w:szCs w:val="22"/>
        </w:rPr>
      </w:pPr>
    </w:p>
    <w:p w:rsidR="00B30C22" w:rsidRDefault="00577400" w:rsidP="00B30C2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  <w:r w:rsidRPr="001157A6">
        <w:rPr>
          <w:rFonts w:asciiTheme="minorHAnsi" w:hAnsiTheme="minorHAnsi" w:cstheme="minorHAnsi"/>
          <w:b/>
          <w:sz w:val="22"/>
          <w:szCs w:val="22"/>
        </w:rPr>
        <w:t>CHANGES</w:t>
      </w:r>
      <w:r w:rsidR="002D6A72">
        <w:rPr>
          <w:rFonts w:asciiTheme="minorHAnsi" w:hAnsiTheme="minorHAnsi" w:cstheme="minorHAnsi"/>
          <w:b/>
          <w:sz w:val="22"/>
          <w:szCs w:val="22"/>
        </w:rPr>
        <w:t xml:space="preserve"> – REQUEST TO CHANGE WATER SYSTEM INVENTORY OR LABORATORY </w:t>
      </w:r>
      <w:r w:rsidR="007448F8">
        <w:rPr>
          <w:rFonts w:asciiTheme="minorHAnsi" w:hAnsiTheme="minorHAnsi" w:cstheme="minorHAnsi"/>
          <w:b/>
          <w:sz w:val="22"/>
          <w:szCs w:val="22"/>
        </w:rPr>
        <w:t>SERVICES</w:t>
      </w:r>
    </w:p>
    <w:p w:rsidR="00FA5B3F" w:rsidRPr="001157A6" w:rsidRDefault="00B30C22" w:rsidP="00B30C2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</w:t>
      </w:r>
      <w:r w:rsidR="008046EE">
        <w:rPr>
          <w:rFonts w:asciiTheme="minorHAnsi" w:hAnsiTheme="minorHAnsi" w:cstheme="minorHAnsi"/>
          <w:sz w:val="22"/>
          <w:szCs w:val="22"/>
        </w:rPr>
        <w:t xml:space="preserve">anges </w:t>
      </w:r>
      <w:r w:rsidR="008F4292">
        <w:rPr>
          <w:rFonts w:asciiTheme="minorHAnsi" w:hAnsiTheme="minorHAnsi" w:cstheme="minorHAnsi"/>
          <w:sz w:val="22"/>
          <w:szCs w:val="22"/>
        </w:rPr>
        <w:t xml:space="preserve">must be </w:t>
      </w:r>
      <w:r w:rsidR="00FA5B3F" w:rsidRPr="00837F62">
        <w:rPr>
          <w:rFonts w:asciiTheme="minorHAnsi" w:hAnsiTheme="minorHAnsi" w:cstheme="minorHAnsi"/>
          <w:sz w:val="22"/>
          <w:szCs w:val="22"/>
        </w:rPr>
        <w:t>submi</w:t>
      </w:r>
      <w:r w:rsidR="008F4292">
        <w:rPr>
          <w:rFonts w:asciiTheme="minorHAnsi" w:hAnsiTheme="minorHAnsi" w:cstheme="minorHAnsi"/>
          <w:sz w:val="22"/>
          <w:szCs w:val="22"/>
        </w:rPr>
        <w:t>tted</w:t>
      </w:r>
      <w:r w:rsidR="00FA5B3F" w:rsidRPr="00837F62">
        <w:rPr>
          <w:rFonts w:asciiTheme="minorHAnsi" w:hAnsiTheme="minorHAnsi" w:cstheme="minorHAnsi"/>
          <w:sz w:val="22"/>
          <w:szCs w:val="22"/>
        </w:rPr>
        <w:t xml:space="preserve"> </w:t>
      </w:r>
      <w:r w:rsidR="008F4292">
        <w:rPr>
          <w:rFonts w:asciiTheme="minorHAnsi" w:hAnsiTheme="minorHAnsi" w:cstheme="minorHAnsi"/>
          <w:sz w:val="22"/>
          <w:szCs w:val="22"/>
        </w:rPr>
        <w:t xml:space="preserve">in </w:t>
      </w:r>
      <w:r w:rsidR="000E4AF6">
        <w:rPr>
          <w:rFonts w:asciiTheme="minorHAnsi" w:hAnsiTheme="minorHAnsi" w:cstheme="minorHAnsi"/>
          <w:sz w:val="22"/>
          <w:szCs w:val="22"/>
        </w:rPr>
        <w:t>writ</w:t>
      </w:r>
      <w:r w:rsidR="008F4292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using </w:t>
      </w:r>
      <w:r w:rsidR="00B954F5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EPD’s form </w:t>
      </w:r>
      <w:r w:rsidR="00B954F5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REQUEST TO CHANGE WATER SYSTEM INVENTORY OR LABORATORY </w:t>
      </w:r>
      <w:r w:rsidR="007448F8">
        <w:rPr>
          <w:rFonts w:asciiTheme="minorHAnsi" w:hAnsiTheme="minorHAnsi" w:cstheme="minorHAnsi"/>
          <w:sz w:val="22"/>
          <w:szCs w:val="22"/>
        </w:rPr>
        <w:t>SERVICES</w:t>
      </w:r>
      <w:r w:rsidR="00B954F5">
        <w:rPr>
          <w:rFonts w:asciiTheme="minorHAnsi" w:hAnsiTheme="minorHAnsi" w:cstheme="minorHAnsi"/>
          <w:sz w:val="22"/>
          <w:szCs w:val="22"/>
        </w:rPr>
        <w:t>”</w:t>
      </w:r>
      <w:r w:rsidR="000E4AF6">
        <w:rPr>
          <w:rFonts w:asciiTheme="minorHAnsi" w:hAnsiTheme="minorHAnsi" w:cstheme="minorHAnsi"/>
          <w:sz w:val="22"/>
          <w:szCs w:val="22"/>
        </w:rPr>
        <w:t xml:space="preserve"> </w:t>
      </w:r>
      <w:r w:rsidR="00577400" w:rsidRPr="00837F62">
        <w:rPr>
          <w:rFonts w:asciiTheme="minorHAnsi" w:hAnsiTheme="minorHAnsi" w:cstheme="minorHAnsi"/>
          <w:sz w:val="22"/>
          <w:szCs w:val="22"/>
        </w:rPr>
        <w:t xml:space="preserve">to the appropriate EPD </w:t>
      </w:r>
      <w:r w:rsidR="000E4AF6">
        <w:rPr>
          <w:rFonts w:asciiTheme="minorHAnsi" w:hAnsiTheme="minorHAnsi" w:cstheme="minorHAnsi"/>
          <w:sz w:val="22"/>
          <w:szCs w:val="22"/>
        </w:rPr>
        <w:t>Compliance</w:t>
      </w:r>
      <w:r w:rsidR="00577400" w:rsidRPr="00837F62">
        <w:rPr>
          <w:rFonts w:asciiTheme="minorHAnsi" w:hAnsiTheme="minorHAnsi" w:cstheme="minorHAnsi"/>
          <w:sz w:val="22"/>
          <w:szCs w:val="22"/>
        </w:rPr>
        <w:t xml:space="preserve"> Office</w:t>
      </w:r>
      <w:r w:rsidR="000E4AF6">
        <w:rPr>
          <w:rFonts w:asciiTheme="minorHAnsi" w:hAnsiTheme="minorHAnsi" w:cstheme="minorHAnsi"/>
          <w:sz w:val="22"/>
          <w:szCs w:val="22"/>
        </w:rPr>
        <w:t xml:space="preserve"> contact listed in the </w:t>
      </w:r>
      <w:r w:rsidR="008F4292">
        <w:rPr>
          <w:rFonts w:asciiTheme="minorHAnsi" w:hAnsiTheme="minorHAnsi" w:cstheme="minorHAnsi"/>
          <w:sz w:val="22"/>
          <w:szCs w:val="22"/>
        </w:rPr>
        <w:t>water system</w:t>
      </w:r>
      <w:r w:rsidR="000E4AF6">
        <w:rPr>
          <w:rFonts w:asciiTheme="minorHAnsi" w:hAnsiTheme="minorHAnsi" w:cstheme="minorHAnsi"/>
          <w:sz w:val="22"/>
          <w:szCs w:val="22"/>
        </w:rPr>
        <w:t>’s permit</w:t>
      </w:r>
      <w:r w:rsidRPr="00B30C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within 15 business days of the change</w:t>
      </w:r>
      <w:r w:rsidR="002D6A72">
        <w:rPr>
          <w:rFonts w:asciiTheme="minorHAnsi" w:hAnsiTheme="minorHAnsi" w:cstheme="minorHAnsi"/>
          <w:sz w:val="22"/>
          <w:szCs w:val="22"/>
        </w:rPr>
        <w:t>, except for a change in ownership, which must be sent to EPD at least 30 days prior to the proposed change in ownership</w:t>
      </w:r>
      <w:r w:rsidR="00FA5B3F" w:rsidRPr="00837F62">
        <w:rPr>
          <w:rFonts w:asciiTheme="minorHAnsi" w:hAnsiTheme="minorHAnsi" w:cstheme="minorHAnsi"/>
          <w:sz w:val="22"/>
          <w:szCs w:val="22"/>
        </w:rPr>
        <w:t xml:space="preserve">. </w:t>
      </w:r>
      <w:r w:rsidR="008F42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5B3F" w:rsidRPr="001157A6" w:rsidRDefault="00FA5B3F" w:rsidP="00FA5B3F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sz w:val="22"/>
          <w:szCs w:val="22"/>
        </w:rPr>
      </w:pPr>
    </w:p>
    <w:p w:rsidR="00F32E78" w:rsidRPr="001157A6" w:rsidRDefault="00F32E78" w:rsidP="001157A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sz w:val="22"/>
          <w:szCs w:val="22"/>
        </w:rPr>
      </w:pPr>
      <w:r w:rsidRPr="001157A6">
        <w:rPr>
          <w:rFonts w:asciiTheme="minorHAnsi" w:hAnsiTheme="minorHAnsi" w:cstheme="minorHAnsi"/>
          <w:b/>
          <w:sz w:val="22"/>
          <w:szCs w:val="22"/>
        </w:rPr>
        <w:t>RENEWAL</w:t>
      </w:r>
      <w:r w:rsidR="00293AF6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293AF6" w:rsidRPr="001157A6">
        <w:rPr>
          <w:rFonts w:asciiTheme="minorHAnsi" w:hAnsiTheme="minorHAnsi" w:cstheme="minorHAnsi"/>
          <w:b/>
          <w:sz w:val="22"/>
          <w:szCs w:val="22"/>
        </w:rPr>
        <w:t>TERMINATION</w:t>
      </w:r>
    </w:p>
    <w:p w:rsidR="00F32E78" w:rsidRPr="001157A6" w:rsidRDefault="00625051" w:rsidP="00F32E7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Unless terminated, a water system owner’s </w:t>
      </w:r>
      <w:r w:rsidR="00293AF6">
        <w:rPr>
          <w:rFonts w:asciiTheme="minorHAnsi" w:hAnsiTheme="minorHAnsi" w:cstheme="minorHAnsi"/>
          <w:sz w:val="22"/>
          <w:szCs w:val="22"/>
        </w:rPr>
        <w:t>request for laboratory analys</w:t>
      </w:r>
      <w:r w:rsidR="009575D3">
        <w:rPr>
          <w:rFonts w:asciiTheme="minorHAnsi" w:hAnsiTheme="minorHAnsi" w:cstheme="minorHAnsi"/>
          <w:sz w:val="22"/>
          <w:szCs w:val="22"/>
        </w:rPr>
        <w:t>e</w:t>
      </w:r>
      <w:r w:rsidR="00293AF6">
        <w:rPr>
          <w:rFonts w:asciiTheme="minorHAnsi" w:hAnsiTheme="minorHAnsi" w:cstheme="minorHAnsi"/>
          <w:sz w:val="22"/>
          <w:szCs w:val="22"/>
        </w:rPr>
        <w:t>s and related services will automatically renew each year</w:t>
      </w:r>
      <w:r>
        <w:rPr>
          <w:rFonts w:asciiTheme="minorHAnsi" w:hAnsiTheme="minorHAnsi" w:cstheme="minorHAnsi"/>
          <w:sz w:val="22"/>
          <w:szCs w:val="22"/>
        </w:rPr>
        <w:t xml:space="preserve"> if his</w:t>
      </w:r>
      <w:r w:rsidR="0010202C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her payment account is current.  The owner may terminate his/her request </w:t>
      </w:r>
      <w:r w:rsidR="00B45306">
        <w:rPr>
          <w:rFonts w:asciiTheme="minorHAnsi" w:hAnsiTheme="minorHAnsi" w:cstheme="minorHAnsi"/>
          <w:sz w:val="22"/>
          <w:szCs w:val="22"/>
        </w:rPr>
        <w:t xml:space="preserve">in writing </w:t>
      </w:r>
      <w:r w:rsidR="0010202C">
        <w:rPr>
          <w:rFonts w:asciiTheme="minorHAnsi" w:hAnsiTheme="minorHAnsi" w:cstheme="minorHAnsi"/>
          <w:sz w:val="22"/>
          <w:szCs w:val="22"/>
        </w:rPr>
        <w:t xml:space="preserve">submitted </w:t>
      </w:r>
      <w:r w:rsidR="00B45306">
        <w:rPr>
          <w:rFonts w:asciiTheme="minorHAnsi" w:hAnsiTheme="minorHAnsi" w:cstheme="minorHAnsi"/>
          <w:sz w:val="22"/>
          <w:szCs w:val="22"/>
        </w:rPr>
        <w:t xml:space="preserve">to </w:t>
      </w:r>
      <w:r w:rsidRPr="00837F62">
        <w:rPr>
          <w:rFonts w:asciiTheme="minorHAnsi" w:hAnsiTheme="minorHAnsi" w:cstheme="minorHAnsi"/>
          <w:sz w:val="22"/>
          <w:szCs w:val="22"/>
        </w:rPr>
        <w:t xml:space="preserve">the appropriate EPD </w:t>
      </w:r>
      <w:r>
        <w:rPr>
          <w:rFonts w:asciiTheme="minorHAnsi" w:hAnsiTheme="minorHAnsi" w:cstheme="minorHAnsi"/>
          <w:sz w:val="22"/>
          <w:szCs w:val="22"/>
        </w:rPr>
        <w:t>Compliance</w:t>
      </w:r>
      <w:r w:rsidRPr="00837F62">
        <w:rPr>
          <w:rFonts w:asciiTheme="minorHAnsi" w:hAnsiTheme="minorHAnsi" w:cstheme="minorHAnsi"/>
          <w:sz w:val="22"/>
          <w:szCs w:val="22"/>
        </w:rPr>
        <w:t xml:space="preserve"> Office</w:t>
      </w:r>
      <w:r>
        <w:rPr>
          <w:rFonts w:asciiTheme="minorHAnsi" w:hAnsiTheme="minorHAnsi" w:cstheme="minorHAnsi"/>
          <w:sz w:val="22"/>
          <w:szCs w:val="22"/>
        </w:rPr>
        <w:t xml:space="preserve"> contact listed in the water system’s permit.  EPD may terminate its laboratory analyses and related services </w:t>
      </w:r>
      <w:r w:rsidR="00B45306">
        <w:rPr>
          <w:rFonts w:asciiTheme="minorHAnsi" w:hAnsiTheme="minorHAnsi" w:cstheme="minorHAnsi"/>
          <w:sz w:val="22"/>
          <w:szCs w:val="22"/>
        </w:rPr>
        <w:t>in writing</w:t>
      </w:r>
      <w:r w:rsidR="0010202C">
        <w:rPr>
          <w:rFonts w:asciiTheme="minorHAnsi" w:hAnsiTheme="minorHAnsi" w:cstheme="minorHAnsi"/>
          <w:sz w:val="22"/>
          <w:szCs w:val="22"/>
        </w:rPr>
        <w:t xml:space="preserve"> mailed</w:t>
      </w:r>
      <w:r w:rsidR="00B453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 the water system owner</w:t>
      </w:r>
      <w:r w:rsidR="00F32E78" w:rsidRPr="00837F62">
        <w:rPr>
          <w:rFonts w:asciiTheme="minorHAnsi" w:hAnsiTheme="minorHAnsi" w:cstheme="minorHAnsi"/>
          <w:sz w:val="22"/>
          <w:szCs w:val="22"/>
        </w:rPr>
        <w:t>.</w:t>
      </w:r>
      <w:r w:rsidR="007E0DF5">
        <w:rPr>
          <w:rFonts w:asciiTheme="minorHAnsi" w:hAnsiTheme="minorHAnsi" w:cstheme="minorHAnsi"/>
          <w:sz w:val="22"/>
          <w:szCs w:val="22"/>
        </w:rPr>
        <w:t xml:space="preserve"> </w:t>
      </w:r>
      <w:r w:rsidR="00293AF6">
        <w:rPr>
          <w:rFonts w:asciiTheme="minorHAnsi" w:hAnsiTheme="minorHAnsi" w:cstheme="minorHAnsi"/>
          <w:sz w:val="22"/>
          <w:szCs w:val="22"/>
        </w:rPr>
        <w:t xml:space="preserve"> Upon</w:t>
      </w:r>
      <w:r w:rsidR="0081095B">
        <w:rPr>
          <w:rFonts w:asciiTheme="minorHAnsi" w:hAnsiTheme="minorHAnsi" w:cstheme="minorHAnsi"/>
          <w:sz w:val="22"/>
          <w:szCs w:val="22"/>
        </w:rPr>
        <w:t xml:space="preserve"> termination</w:t>
      </w:r>
      <w:r w:rsidR="00293AF6">
        <w:rPr>
          <w:rFonts w:asciiTheme="minorHAnsi" w:hAnsiTheme="minorHAnsi" w:cstheme="minorHAnsi"/>
          <w:sz w:val="22"/>
          <w:szCs w:val="22"/>
        </w:rPr>
        <w:t>,</w:t>
      </w:r>
      <w:r w:rsidR="0081095B">
        <w:rPr>
          <w:rFonts w:asciiTheme="minorHAnsi" w:hAnsiTheme="minorHAnsi" w:cstheme="minorHAnsi"/>
          <w:sz w:val="22"/>
          <w:szCs w:val="22"/>
        </w:rPr>
        <w:t xml:space="preserve"> the </w:t>
      </w:r>
      <w:r w:rsidR="00293AF6">
        <w:rPr>
          <w:rFonts w:asciiTheme="minorHAnsi" w:hAnsiTheme="minorHAnsi" w:cstheme="minorHAnsi"/>
          <w:sz w:val="22"/>
          <w:szCs w:val="22"/>
        </w:rPr>
        <w:t xml:space="preserve">water system </w:t>
      </w:r>
      <w:r w:rsidR="0081095B">
        <w:rPr>
          <w:rFonts w:asciiTheme="minorHAnsi" w:hAnsiTheme="minorHAnsi" w:cstheme="minorHAnsi"/>
          <w:sz w:val="22"/>
          <w:szCs w:val="22"/>
        </w:rPr>
        <w:t xml:space="preserve">owner must return all EPD containers within his/her possession. </w:t>
      </w:r>
    </w:p>
    <w:p w:rsidR="002038B0" w:rsidRPr="001157A6" w:rsidRDefault="002038B0" w:rsidP="002038B0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</w:p>
    <w:p w:rsidR="00CA2C74" w:rsidRPr="001157A6" w:rsidRDefault="00CA2C74" w:rsidP="001157A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b/>
          <w:sz w:val="22"/>
          <w:szCs w:val="22"/>
        </w:rPr>
      </w:pPr>
      <w:r w:rsidRPr="001157A6">
        <w:rPr>
          <w:rFonts w:asciiTheme="minorHAnsi" w:hAnsiTheme="minorHAnsi" w:cstheme="minorHAnsi"/>
          <w:b/>
          <w:sz w:val="22"/>
          <w:szCs w:val="22"/>
        </w:rPr>
        <w:t>LABORATORY RESULTS</w:t>
      </w:r>
    </w:p>
    <w:p w:rsidR="009E5396" w:rsidRPr="001157A6" w:rsidRDefault="008254DB" w:rsidP="00CA2C74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EPD will input sampling data and laboratory analysis results into SDWIS.</w:t>
      </w:r>
      <w:r w:rsidR="00AA2143">
        <w:rPr>
          <w:rFonts w:asciiTheme="minorHAnsi" w:hAnsiTheme="minorHAnsi" w:cstheme="minorHAnsi"/>
          <w:sz w:val="22"/>
          <w:szCs w:val="22"/>
        </w:rPr>
        <w:t xml:space="preserve"> </w:t>
      </w:r>
      <w:r w:rsidR="00822428">
        <w:rPr>
          <w:rFonts w:asciiTheme="minorHAnsi" w:hAnsiTheme="minorHAnsi" w:cstheme="minorHAnsi"/>
          <w:sz w:val="22"/>
          <w:szCs w:val="22"/>
        </w:rPr>
        <w:t xml:space="preserve"> </w:t>
      </w:r>
      <w:r w:rsidR="00DF2C38" w:rsidRPr="001157A6">
        <w:rPr>
          <w:rFonts w:asciiTheme="minorHAnsi" w:hAnsiTheme="minorHAnsi" w:cstheme="minorHAnsi"/>
          <w:sz w:val="22"/>
          <w:szCs w:val="22"/>
        </w:rPr>
        <w:t>Results for the laboratory analys</w:t>
      </w:r>
      <w:r w:rsidR="009575D3">
        <w:rPr>
          <w:rFonts w:asciiTheme="minorHAnsi" w:hAnsiTheme="minorHAnsi" w:cstheme="minorHAnsi"/>
          <w:sz w:val="22"/>
          <w:szCs w:val="22"/>
        </w:rPr>
        <w:t>e</w:t>
      </w:r>
      <w:r w:rsidR="00DF2C38" w:rsidRPr="001157A6">
        <w:rPr>
          <w:rFonts w:asciiTheme="minorHAnsi" w:hAnsiTheme="minorHAnsi" w:cstheme="minorHAnsi"/>
          <w:sz w:val="22"/>
          <w:szCs w:val="22"/>
        </w:rPr>
        <w:t xml:space="preserve">s performed for each sample will be provided as a </w:t>
      </w:r>
      <w:r w:rsidR="00DF2C38" w:rsidRPr="009523DD">
        <w:rPr>
          <w:rFonts w:asciiTheme="minorHAnsi" w:hAnsiTheme="minorHAnsi" w:cstheme="minorHAnsi"/>
          <w:sz w:val="22"/>
          <w:szCs w:val="22"/>
        </w:rPr>
        <w:t>mailed hardcopy report</w:t>
      </w:r>
      <w:r w:rsidR="00DF2C38" w:rsidRPr="001157A6">
        <w:rPr>
          <w:rFonts w:asciiTheme="minorHAnsi" w:hAnsiTheme="minorHAnsi" w:cstheme="minorHAnsi"/>
          <w:sz w:val="22"/>
          <w:szCs w:val="22"/>
        </w:rPr>
        <w:t xml:space="preserve">. </w:t>
      </w:r>
      <w:r w:rsidR="00696E90">
        <w:rPr>
          <w:rFonts w:asciiTheme="minorHAnsi" w:hAnsiTheme="minorHAnsi" w:cstheme="minorHAnsi"/>
          <w:sz w:val="22"/>
          <w:szCs w:val="22"/>
        </w:rPr>
        <w:t xml:space="preserve"> </w:t>
      </w:r>
      <w:r w:rsidR="00DF2C38" w:rsidRPr="001157A6">
        <w:rPr>
          <w:rFonts w:asciiTheme="minorHAnsi" w:hAnsiTheme="minorHAnsi" w:cstheme="minorHAnsi"/>
          <w:sz w:val="22"/>
          <w:szCs w:val="22"/>
        </w:rPr>
        <w:t>Results are a</w:t>
      </w:r>
      <w:r w:rsidR="00AA2143">
        <w:rPr>
          <w:rFonts w:asciiTheme="minorHAnsi" w:hAnsiTheme="minorHAnsi" w:cstheme="minorHAnsi"/>
          <w:sz w:val="22"/>
          <w:szCs w:val="22"/>
        </w:rPr>
        <w:t>lso available electronically at</w:t>
      </w:r>
      <w:r w:rsidR="00B744B7">
        <w:rPr>
          <w:rFonts w:asciiTheme="minorHAnsi" w:hAnsiTheme="minorHAnsi" w:cstheme="minorHAnsi"/>
          <w:sz w:val="22"/>
          <w:szCs w:val="22"/>
        </w:rPr>
        <w:t xml:space="preserve"> Drinking Water Watch (</w:t>
      </w:r>
      <w:r w:rsidR="009523DD">
        <w:rPr>
          <w:rFonts w:asciiTheme="minorHAnsi" w:hAnsiTheme="minorHAnsi" w:cstheme="minorHAnsi"/>
          <w:sz w:val="22"/>
          <w:szCs w:val="22"/>
        </w:rPr>
        <w:t>gadrinkingwater.net/DWWPUB</w:t>
      </w:r>
      <w:r w:rsidR="00B744B7">
        <w:rPr>
          <w:rFonts w:asciiTheme="minorHAnsi" w:hAnsiTheme="minorHAnsi" w:cstheme="minorHAnsi"/>
          <w:sz w:val="22"/>
          <w:szCs w:val="22"/>
        </w:rPr>
        <w:t>)</w:t>
      </w:r>
      <w:r w:rsidR="00DF2C38" w:rsidRPr="001157A6">
        <w:rPr>
          <w:rFonts w:asciiTheme="minorHAnsi" w:hAnsiTheme="minorHAnsi" w:cstheme="minorHAnsi"/>
          <w:sz w:val="22"/>
          <w:szCs w:val="22"/>
        </w:rPr>
        <w:t>.</w:t>
      </w:r>
    </w:p>
    <w:sectPr w:rsidR="009E5396" w:rsidRPr="001157A6" w:rsidSect="00AA214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99" w:rsidRDefault="00950999" w:rsidP="00AB0344">
      <w:r>
        <w:separator/>
      </w:r>
    </w:p>
  </w:endnote>
  <w:endnote w:type="continuationSeparator" w:id="0">
    <w:p w:rsidR="00950999" w:rsidRDefault="00950999" w:rsidP="00AB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99" w:rsidRDefault="00950999" w:rsidP="00AB0344">
      <w:r>
        <w:separator/>
      </w:r>
    </w:p>
  </w:footnote>
  <w:footnote w:type="continuationSeparator" w:id="0">
    <w:p w:rsidR="00950999" w:rsidRDefault="00950999" w:rsidP="00AB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22D"/>
    <w:multiLevelType w:val="hybridMultilevel"/>
    <w:tmpl w:val="53B84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F2"/>
    <w:rsid w:val="00075588"/>
    <w:rsid w:val="000A3571"/>
    <w:rsid w:val="000C7104"/>
    <w:rsid w:val="000D53D4"/>
    <w:rsid w:val="000E4AF6"/>
    <w:rsid w:val="000F4DAF"/>
    <w:rsid w:val="0010202C"/>
    <w:rsid w:val="001157A6"/>
    <w:rsid w:val="00122549"/>
    <w:rsid w:val="00122EBA"/>
    <w:rsid w:val="00125692"/>
    <w:rsid w:val="001271D9"/>
    <w:rsid w:val="00137887"/>
    <w:rsid w:val="00174B95"/>
    <w:rsid w:val="001A7528"/>
    <w:rsid w:val="001E1827"/>
    <w:rsid w:val="001F796C"/>
    <w:rsid w:val="002038B0"/>
    <w:rsid w:val="00265BEE"/>
    <w:rsid w:val="00274AC6"/>
    <w:rsid w:val="00293AF6"/>
    <w:rsid w:val="002D62CC"/>
    <w:rsid w:val="002D6A72"/>
    <w:rsid w:val="00370C07"/>
    <w:rsid w:val="003C3DDB"/>
    <w:rsid w:val="00440E4A"/>
    <w:rsid w:val="00486E29"/>
    <w:rsid w:val="00502D65"/>
    <w:rsid w:val="005067B3"/>
    <w:rsid w:val="00521125"/>
    <w:rsid w:val="00572DF1"/>
    <w:rsid w:val="00577400"/>
    <w:rsid w:val="005A2115"/>
    <w:rsid w:val="005E02C4"/>
    <w:rsid w:val="00604C68"/>
    <w:rsid w:val="006127B6"/>
    <w:rsid w:val="00625051"/>
    <w:rsid w:val="00654C70"/>
    <w:rsid w:val="00696E90"/>
    <w:rsid w:val="006E5D9C"/>
    <w:rsid w:val="007316B0"/>
    <w:rsid w:val="0074437B"/>
    <w:rsid w:val="007448F8"/>
    <w:rsid w:val="007D1AC1"/>
    <w:rsid w:val="007E0DF5"/>
    <w:rsid w:val="007E780B"/>
    <w:rsid w:val="008029BE"/>
    <w:rsid w:val="008046EE"/>
    <w:rsid w:val="0081095B"/>
    <w:rsid w:val="00822428"/>
    <w:rsid w:val="008254DB"/>
    <w:rsid w:val="00837F62"/>
    <w:rsid w:val="008F4292"/>
    <w:rsid w:val="00934741"/>
    <w:rsid w:val="00950999"/>
    <w:rsid w:val="009523DD"/>
    <w:rsid w:val="00957305"/>
    <w:rsid w:val="009575D3"/>
    <w:rsid w:val="009623CD"/>
    <w:rsid w:val="009E5396"/>
    <w:rsid w:val="00A23C80"/>
    <w:rsid w:val="00AA2143"/>
    <w:rsid w:val="00AB0344"/>
    <w:rsid w:val="00AC2D66"/>
    <w:rsid w:val="00B14AF2"/>
    <w:rsid w:val="00B30C22"/>
    <w:rsid w:val="00B45306"/>
    <w:rsid w:val="00B744B7"/>
    <w:rsid w:val="00B77E55"/>
    <w:rsid w:val="00B954F5"/>
    <w:rsid w:val="00BF1725"/>
    <w:rsid w:val="00C14314"/>
    <w:rsid w:val="00C253A5"/>
    <w:rsid w:val="00CA2C74"/>
    <w:rsid w:val="00CC691D"/>
    <w:rsid w:val="00CE09BB"/>
    <w:rsid w:val="00D16E47"/>
    <w:rsid w:val="00D81F78"/>
    <w:rsid w:val="00DD67F9"/>
    <w:rsid w:val="00DF2C38"/>
    <w:rsid w:val="00E267D0"/>
    <w:rsid w:val="00E518CB"/>
    <w:rsid w:val="00E55F80"/>
    <w:rsid w:val="00E61652"/>
    <w:rsid w:val="00F244D0"/>
    <w:rsid w:val="00F32E78"/>
    <w:rsid w:val="00F34567"/>
    <w:rsid w:val="00F4432E"/>
    <w:rsid w:val="00FA5B3F"/>
    <w:rsid w:val="00FA6207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14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AF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14A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80B"/>
    <w:pPr>
      <w:ind w:left="720"/>
      <w:contextualSpacing/>
    </w:pPr>
  </w:style>
  <w:style w:type="table" w:styleId="TableGrid">
    <w:name w:val="Table Grid"/>
    <w:basedOn w:val="TableNormal"/>
    <w:uiPriority w:val="59"/>
    <w:rsid w:val="0012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3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34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2C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2C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14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14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AF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14A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80B"/>
    <w:pPr>
      <w:ind w:left="720"/>
      <w:contextualSpacing/>
    </w:pPr>
  </w:style>
  <w:style w:type="table" w:styleId="TableGrid">
    <w:name w:val="Table Grid"/>
    <w:basedOn w:val="TableNormal"/>
    <w:uiPriority w:val="59"/>
    <w:rsid w:val="0012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3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34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2C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2C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14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66B1-0781-4809-A13E-281A1EAA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EPD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Ruoff, Erin</dc:creator>
  <cp:lastModifiedBy>Voudy, Christine</cp:lastModifiedBy>
  <cp:revision>3</cp:revision>
  <cp:lastPrinted>2016-03-29T14:04:00Z</cp:lastPrinted>
  <dcterms:created xsi:type="dcterms:W3CDTF">2016-03-30T19:40:00Z</dcterms:created>
  <dcterms:modified xsi:type="dcterms:W3CDTF">2016-03-31T13:41:00Z</dcterms:modified>
</cp:coreProperties>
</file>