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The Georgia Environmental Protection Division (EPD) is responsible for the protection of Georgia's Underground Sources of Drinking Water. No injection will be permitted unless there is little likelihood that any Maximum Contaminant Level (MCL) promulgated under the Georgia Safe Drinking Water Act will be exceeded. That is, no UIC permit will be issued for the injection of fluids which exceed maximum contaminant levels (MCLs) for any constituent regulated under Georgia's Drinking Water standards.</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In addition to the permit application form and check list, you will also need to submit a Corrective Action Plan (Part B is preferable) or an equivalent report prepared by a Georgia Registered Professional Geologist (PG) or Professional Engineer (PE). The report shall also include a site location indicated on a 7.5' topographic map. In this report you should completely describe the site hydrogeology as well as the nature and extent of the groundwater impact of the proposed injection. The report should also completely describe the proposed injection including an analysis of the proposed injection fluid, if liquid. It shall also include a site map showing the location of all relevant features including, but not limited to, the monitoring wells and hydrologic gradient as inferred from the monitoring wells. At least one diagram should include the locations of injection and monitoring wells with a depiction of the areas of influence for each of these wells.</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The geological report must be prepared under the direct supervision of a Georgia registered professional Geologist (PG). If it is not, DNR cannot review the report and the application will be returned. The geological report should include, at a minimum, the following topics:</w:t>
      </w:r>
    </w:p>
    <w:p w:rsidR="000A29EF" w:rsidRPr="000A29EF" w:rsidRDefault="000A29EF" w:rsidP="000A29EF">
      <w:pPr>
        <w:numPr>
          <w:ilvl w:val="0"/>
          <w:numId w:val="1"/>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 xml:space="preserve">a comprehensive discussion of the site's stratigraphy including the detailed </w:t>
      </w:r>
      <w:proofErr w:type="spellStart"/>
      <w:r w:rsidRPr="000A29EF">
        <w:rPr>
          <w:rFonts w:ascii="inherit" w:eastAsia="Times New Roman" w:hAnsi="inherit" w:cs="Times New Roman"/>
          <w:color w:val="666666"/>
          <w:sz w:val="24"/>
          <w:szCs w:val="24"/>
        </w:rPr>
        <w:t>lithologies</w:t>
      </w:r>
      <w:proofErr w:type="spellEnd"/>
      <w:r w:rsidRPr="000A29EF">
        <w:rPr>
          <w:rFonts w:ascii="inherit" w:eastAsia="Times New Roman" w:hAnsi="inherit" w:cs="Times New Roman"/>
          <w:color w:val="666666"/>
          <w:sz w:val="24"/>
          <w:szCs w:val="24"/>
        </w:rPr>
        <w:t xml:space="preserve"> of the formations involved and stratigraphic cross-sections oriented at various directions across the site; and</w:t>
      </w:r>
    </w:p>
    <w:p w:rsidR="000A29EF" w:rsidRPr="000A29EF" w:rsidRDefault="000A29EF" w:rsidP="000A29EF">
      <w:pPr>
        <w:numPr>
          <w:ilvl w:val="0"/>
          <w:numId w:val="1"/>
        </w:numPr>
        <w:shd w:val="clear" w:color="auto" w:fill="FFFFFF"/>
        <w:spacing w:after="0" w:line="270" w:lineRule="atLeast"/>
        <w:ind w:left="0"/>
        <w:textAlignment w:val="baseline"/>
        <w:rPr>
          <w:rFonts w:ascii="inherit" w:eastAsia="Times New Roman" w:hAnsi="inherit" w:cs="Times New Roman"/>
          <w:color w:val="666666"/>
          <w:sz w:val="24"/>
          <w:szCs w:val="24"/>
        </w:rPr>
      </w:pPr>
      <w:proofErr w:type="gramStart"/>
      <w:r w:rsidRPr="000A29EF">
        <w:rPr>
          <w:rFonts w:ascii="inherit" w:eastAsia="Times New Roman" w:hAnsi="inherit" w:cs="Times New Roman"/>
          <w:color w:val="666666"/>
          <w:sz w:val="24"/>
          <w:szCs w:val="24"/>
        </w:rPr>
        <w:t>a</w:t>
      </w:r>
      <w:proofErr w:type="gramEnd"/>
      <w:r w:rsidRPr="000A29EF">
        <w:rPr>
          <w:rFonts w:ascii="inherit" w:eastAsia="Times New Roman" w:hAnsi="inherit" w:cs="Times New Roman"/>
          <w:color w:val="666666"/>
          <w:sz w:val="24"/>
          <w:szCs w:val="24"/>
        </w:rPr>
        <w:t xml:space="preserve"> comprehensive discussion of the site's structure including structural contour maps of the most important formations and structural cross-sections oriented to best demonstrate the site's structure.</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 xml:space="preserve">The </w:t>
      </w:r>
      <w:proofErr w:type="spellStart"/>
      <w:r w:rsidRPr="000A29EF">
        <w:rPr>
          <w:rFonts w:ascii="Verdana" w:eastAsia="Times New Roman" w:hAnsi="Verdana" w:cs="Times New Roman"/>
          <w:color w:val="666666"/>
          <w:sz w:val="24"/>
          <w:szCs w:val="24"/>
        </w:rPr>
        <w:t>hydrogeologic</w:t>
      </w:r>
      <w:proofErr w:type="spellEnd"/>
      <w:r w:rsidRPr="000A29EF">
        <w:rPr>
          <w:rFonts w:ascii="Verdana" w:eastAsia="Times New Roman" w:hAnsi="Verdana" w:cs="Times New Roman"/>
          <w:color w:val="666666"/>
          <w:sz w:val="24"/>
          <w:szCs w:val="24"/>
        </w:rPr>
        <w:t xml:space="preserve"> report must also be prepared under the direct supervision of a Georgia registered professional Geologist (PG). If it is not, DNR cannot review the report and the application will be returned. The hydrogeological report should include, at a minimum, the following topics:</w:t>
      </w:r>
    </w:p>
    <w:p w:rsidR="000A29EF" w:rsidRPr="000A29EF" w:rsidRDefault="000A29EF" w:rsidP="000A29EF">
      <w:pPr>
        <w:numPr>
          <w:ilvl w:val="0"/>
          <w:numId w:val="2"/>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 xml:space="preserve">a comprehensive discussion of the porosities, </w:t>
      </w:r>
      <w:proofErr w:type="spellStart"/>
      <w:r w:rsidRPr="000A29EF">
        <w:rPr>
          <w:rFonts w:ascii="inherit" w:eastAsia="Times New Roman" w:hAnsi="inherit" w:cs="Times New Roman"/>
          <w:color w:val="666666"/>
          <w:sz w:val="24"/>
          <w:szCs w:val="24"/>
        </w:rPr>
        <w:t>permeabilities</w:t>
      </w:r>
      <w:proofErr w:type="spellEnd"/>
      <w:r w:rsidRPr="000A29EF">
        <w:rPr>
          <w:rFonts w:ascii="inherit" w:eastAsia="Times New Roman" w:hAnsi="inherit" w:cs="Times New Roman"/>
          <w:color w:val="666666"/>
          <w:sz w:val="24"/>
          <w:szCs w:val="24"/>
        </w:rPr>
        <w:t xml:space="preserve"> and/or hydrologic conductivities of the formations involved;</w:t>
      </w:r>
    </w:p>
    <w:p w:rsidR="000A29EF" w:rsidRPr="000A29EF" w:rsidRDefault="000A29EF" w:rsidP="000A29EF">
      <w:pPr>
        <w:numPr>
          <w:ilvl w:val="0"/>
          <w:numId w:val="2"/>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potentiometric contour maps, with the direction of groundwater flow clearly marked, of all effected aquifers;</w:t>
      </w:r>
    </w:p>
    <w:p w:rsidR="000A29EF" w:rsidRPr="000A29EF" w:rsidRDefault="000A29EF" w:rsidP="000A29EF">
      <w:pPr>
        <w:numPr>
          <w:ilvl w:val="0"/>
          <w:numId w:val="2"/>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the results of any well tests including aquifer tests and pump tests; and</w:t>
      </w:r>
    </w:p>
    <w:p w:rsidR="000A29EF" w:rsidRPr="000A29EF" w:rsidRDefault="000A29EF" w:rsidP="000A29EF">
      <w:pPr>
        <w:numPr>
          <w:ilvl w:val="0"/>
          <w:numId w:val="2"/>
        </w:numPr>
        <w:shd w:val="clear" w:color="auto" w:fill="FFFFFF"/>
        <w:spacing w:after="0" w:line="270" w:lineRule="atLeast"/>
        <w:ind w:left="0"/>
        <w:textAlignment w:val="baseline"/>
        <w:rPr>
          <w:rFonts w:ascii="inherit" w:eastAsia="Times New Roman" w:hAnsi="inherit" w:cs="Times New Roman"/>
          <w:color w:val="666666"/>
          <w:sz w:val="24"/>
          <w:szCs w:val="24"/>
        </w:rPr>
      </w:pPr>
      <w:proofErr w:type="gramStart"/>
      <w:r w:rsidRPr="000A29EF">
        <w:rPr>
          <w:rFonts w:ascii="inherit" w:eastAsia="Times New Roman" w:hAnsi="inherit" w:cs="Times New Roman"/>
          <w:color w:val="666666"/>
          <w:sz w:val="24"/>
          <w:szCs w:val="24"/>
        </w:rPr>
        <w:lastRenderedPageBreak/>
        <w:t>a</w:t>
      </w:r>
      <w:proofErr w:type="gramEnd"/>
      <w:r w:rsidRPr="000A29EF">
        <w:rPr>
          <w:rFonts w:ascii="inherit" w:eastAsia="Times New Roman" w:hAnsi="inherit" w:cs="Times New Roman"/>
          <w:color w:val="666666"/>
          <w:sz w:val="24"/>
          <w:szCs w:val="24"/>
        </w:rPr>
        <w:t xml:space="preserve"> ground-water model of the effect of the proposed underground injection on the hydrologic regime of the site including plume migration control and plume dilution.</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The engineering report must be prepared under the direct supervision of a Georgia registered professional Engineer (PE</w:t>
      </w:r>
      <w:proofErr w:type="gramStart"/>
      <w:r w:rsidRPr="000A29EF">
        <w:rPr>
          <w:rFonts w:ascii="Verdana" w:eastAsia="Times New Roman" w:hAnsi="Verdana" w:cs="Times New Roman"/>
          <w:color w:val="666666"/>
          <w:sz w:val="24"/>
          <w:szCs w:val="24"/>
        </w:rPr>
        <w:t>) .</w:t>
      </w:r>
      <w:proofErr w:type="gramEnd"/>
      <w:r w:rsidRPr="000A29EF">
        <w:rPr>
          <w:rFonts w:ascii="Verdana" w:eastAsia="Times New Roman" w:hAnsi="Verdana" w:cs="Times New Roman"/>
          <w:color w:val="666666"/>
          <w:sz w:val="24"/>
          <w:szCs w:val="24"/>
        </w:rPr>
        <w:t xml:space="preserve"> If it is not, DNR cannot review the report and the application will be returned. The engineering report should include, at a minimum, the following topics:</w:t>
      </w:r>
    </w:p>
    <w:p w:rsidR="000A29EF" w:rsidRPr="000A29EF" w:rsidRDefault="000A29EF" w:rsidP="000A29EF">
      <w:pPr>
        <w:numPr>
          <w:ilvl w:val="0"/>
          <w:numId w:val="3"/>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a diagram of the injection well or wells with all parts clearly labeled;</w:t>
      </w:r>
    </w:p>
    <w:p w:rsidR="000A29EF" w:rsidRPr="000A29EF" w:rsidRDefault="000A29EF" w:rsidP="000A29EF">
      <w:pPr>
        <w:numPr>
          <w:ilvl w:val="0"/>
          <w:numId w:val="3"/>
        </w:numPr>
        <w:shd w:val="clear" w:color="auto" w:fill="FFFFFF"/>
        <w:spacing w:after="150" w:line="270" w:lineRule="atLeast"/>
        <w:ind w:left="0"/>
        <w:textAlignment w:val="baseline"/>
        <w:rPr>
          <w:rFonts w:ascii="inherit" w:eastAsia="Times New Roman" w:hAnsi="inherit" w:cs="Times New Roman"/>
          <w:color w:val="666666"/>
          <w:sz w:val="24"/>
          <w:szCs w:val="24"/>
        </w:rPr>
      </w:pPr>
      <w:r w:rsidRPr="000A29EF">
        <w:rPr>
          <w:rFonts w:ascii="inherit" w:eastAsia="Times New Roman" w:hAnsi="inherit" w:cs="Times New Roman"/>
          <w:color w:val="666666"/>
          <w:sz w:val="24"/>
          <w:szCs w:val="24"/>
        </w:rPr>
        <w:t>a diagram with the well locations and all parts of the injection system clearly labeled; and</w:t>
      </w:r>
    </w:p>
    <w:p w:rsidR="000A29EF" w:rsidRPr="000A29EF" w:rsidRDefault="000A29EF" w:rsidP="000A29EF">
      <w:pPr>
        <w:numPr>
          <w:ilvl w:val="0"/>
          <w:numId w:val="3"/>
        </w:numPr>
        <w:shd w:val="clear" w:color="auto" w:fill="FFFFFF"/>
        <w:spacing w:after="0" w:line="270" w:lineRule="atLeast"/>
        <w:ind w:left="0"/>
        <w:textAlignment w:val="baseline"/>
        <w:rPr>
          <w:rFonts w:ascii="inherit" w:eastAsia="Times New Roman" w:hAnsi="inherit" w:cs="Times New Roman"/>
          <w:color w:val="666666"/>
          <w:sz w:val="24"/>
          <w:szCs w:val="24"/>
        </w:rPr>
      </w:pPr>
      <w:proofErr w:type="gramStart"/>
      <w:r w:rsidRPr="000A29EF">
        <w:rPr>
          <w:rFonts w:ascii="inherit" w:eastAsia="Times New Roman" w:hAnsi="inherit" w:cs="Times New Roman"/>
          <w:color w:val="666666"/>
          <w:sz w:val="24"/>
          <w:szCs w:val="24"/>
        </w:rPr>
        <w:t>a</w:t>
      </w:r>
      <w:proofErr w:type="gramEnd"/>
      <w:r w:rsidRPr="000A29EF">
        <w:rPr>
          <w:rFonts w:ascii="inherit" w:eastAsia="Times New Roman" w:hAnsi="inherit" w:cs="Times New Roman"/>
          <w:color w:val="666666"/>
          <w:sz w:val="24"/>
          <w:szCs w:val="24"/>
        </w:rPr>
        <w:t xml:space="preserve"> comprehensive discussion of the injection well's engineering specifications i.e. max. </w:t>
      </w:r>
      <w:proofErr w:type="spellStart"/>
      <w:proofErr w:type="gramStart"/>
      <w:r w:rsidRPr="000A29EF">
        <w:rPr>
          <w:rFonts w:ascii="inherit" w:eastAsia="Times New Roman" w:hAnsi="inherit" w:cs="Times New Roman"/>
          <w:color w:val="666666"/>
          <w:sz w:val="24"/>
          <w:szCs w:val="24"/>
        </w:rPr>
        <w:t>csg</w:t>
      </w:r>
      <w:proofErr w:type="spellEnd"/>
      <w:proofErr w:type="gramEnd"/>
      <w:r w:rsidRPr="000A29EF">
        <w:rPr>
          <w:rFonts w:ascii="inherit" w:eastAsia="Times New Roman" w:hAnsi="inherit" w:cs="Times New Roman"/>
          <w:color w:val="666666"/>
          <w:sz w:val="24"/>
          <w:szCs w:val="24"/>
        </w:rPr>
        <w:t xml:space="preserve">. </w:t>
      </w:r>
      <w:proofErr w:type="gramStart"/>
      <w:r w:rsidRPr="000A29EF">
        <w:rPr>
          <w:rFonts w:ascii="inherit" w:eastAsia="Times New Roman" w:hAnsi="inherit" w:cs="Times New Roman"/>
          <w:color w:val="666666"/>
          <w:sz w:val="24"/>
          <w:szCs w:val="24"/>
        </w:rPr>
        <w:t>pressure</w:t>
      </w:r>
      <w:proofErr w:type="gramEnd"/>
      <w:r w:rsidRPr="000A29EF">
        <w:rPr>
          <w:rFonts w:ascii="inherit" w:eastAsia="Times New Roman" w:hAnsi="inherit" w:cs="Times New Roman"/>
          <w:color w:val="666666"/>
          <w:sz w:val="24"/>
          <w:szCs w:val="24"/>
        </w:rPr>
        <w:t xml:space="preserve">, max. </w:t>
      </w:r>
      <w:proofErr w:type="gramStart"/>
      <w:r w:rsidRPr="000A29EF">
        <w:rPr>
          <w:rFonts w:ascii="inherit" w:eastAsia="Times New Roman" w:hAnsi="inherit" w:cs="Times New Roman"/>
          <w:color w:val="666666"/>
          <w:sz w:val="24"/>
          <w:szCs w:val="24"/>
        </w:rPr>
        <w:t>injection</w:t>
      </w:r>
      <w:proofErr w:type="gramEnd"/>
      <w:r w:rsidRPr="000A29EF">
        <w:rPr>
          <w:rFonts w:ascii="inherit" w:eastAsia="Times New Roman" w:hAnsi="inherit" w:cs="Times New Roman"/>
          <w:color w:val="666666"/>
          <w:sz w:val="24"/>
          <w:szCs w:val="24"/>
        </w:rPr>
        <w:t xml:space="preserve"> pressure, etc.</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In order to monitor the injected area, monitoring wells may be required - typically one upgradient well and three down gradient wells. The monitoring wells shall be properly sampled by a PG or PE. Water sample analyses must be provided in a quarterly report for this site. These analytical data shall be included in a report prepared by a PG or PE.</w:t>
      </w:r>
    </w:p>
    <w:p w:rsidR="000A29EF" w:rsidRPr="000A29EF" w:rsidRDefault="000A29EF" w:rsidP="000A29EF">
      <w:pPr>
        <w:shd w:val="clear" w:color="auto" w:fill="FFFFFF"/>
        <w:spacing w:after="300" w:line="240" w:lineRule="auto"/>
        <w:textAlignment w:val="baseline"/>
        <w:rPr>
          <w:rFonts w:ascii="Verdana" w:eastAsia="Times New Roman" w:hAnsi="Verdana" w:cs="Times New Roman"/>
          <w:color w:val="666666"/>
          <w:sz w:val="24"/>
          <w:szCs w:val="24"/>
        </w:rPr>
      </w:pPr>
      <w:r w:rsidRPr="000A29EF">
        <w:rPr>
          <w:rFonts w:ascii="Verdana" w:eastAsia="Times New Roman" w:hAnsi="Verdana" w:cs="Times New Roman"/>
          <w:color w:val="666666"/>
          <w:sz w:val="24"/>
          <w:szCs w:val="24"/>
        </w:rPr>
        <w:t>If you have any questions about the application please contact</w:t>
      </w:r>
    </w:p>
    <w:p w:rsidR="000A29EF" w:rsidRPr="000A29EF" w:rsidRDefault="000A29EF" w:rsidP="000A29EF">
      <w:pPr>
        <w:shd w:val="clear" w:color="auto" w:fill="FFFFFF"/>
        <w:spacing w:after="0" w:line="240" w:lineRule="auto"/>
        <w:textAlignment w:val="baseline"/>
        <w:rPr>
          <w:rFonts w:ascii="Verdana" w:eastAsia="Times New Roman" w:hAnsi="Verdana" w:cs="Times New Roman"/>
          <w:color w:val="666666"/>
          <w:sz w:val="24"/>
          <w:szCs w:val="24"/>
        </w:rPr>
      </w:pPr>
      <w:proofErr w:type="spellStart"/>
      <w:r w:rsidRPr="000A29EF">
        <w:rPr>
          <w:rFonts w:ascii="Verdana" w:eastAsia="Times New Roman" w:hAnsi="Verdana" w:cs="Times New Roman"/>
          <w:color w:val="666666"/>
          <w:sz w:val="24"/>
          <w:szCs w:val="24"/>
        </w:rPr>
        <w:t>Bijan</w:t>
      </w:r>
      <w:proofErr w:type="spellEnd"/>
      <w:r w:rsidRPr="000A29EF">
        <w:rPr>
          <w:rFonts w:ascii="Verdana" w:eastAsia="Times New Roman" w:hAnsi="Verdana" w:cs="Times New Roman"/>
          <w:color w:val="666666"/>
          <w:sz w:val="24"/>
          <w:szCs w:val="24"/>
        </w:rPr>
        <w:t xml:space="preserve"> </w:t>
      </w:r>
      <w:proofErr w:type="spellStart"/>
      <w:r w:rsidRPr="000A29EF">
        <w:rPr>
          <w:rFonts w:ascii="Verdana" w:eastAsia="Times New Roman" w:hAnsi="Verdana" w:cs="Times New Roman"/>
          <w:color w:val="666666"/>
          <w:sz w:val="24"/>
          <w:szCs w:val="24"/>
        </w:rPr>
        <w:t>Rahbar</w:t>
      </w:r>
      <w:proofErr w:type="spellEnd"/>
      <w:r w:rsidRPr="000A29EF">
        <w:rPr>
          <w:rFonts w:ascii="Verdana" w:eastAsia="Times New Roman" w:hAnsi="Verdana" w:cs="Times New Roman"/>
          <w:color w:val="666666"/>
          <w:sz w:val="24"/>
          <w:szCs w:val="24"/>
        </w:rPr>
        <w:t> </w:t>
      </w:r>
      <w:r w:rsidRPr="000A29EF">
        <w:rPr>
          <w:rFonts w:ascii="Verdana" w:eastAsia="Times New Roman" w:hAnsi="Verdana" w:cs="Times New Roman"/>
          <w:color w:val="666666"/>
          <w:sz w:val="24"/>
          <w:szCs w:val="24"/>
        </w:rPr>
        <w:br/>
        <w:t>Underground Injection Control Coordinator</w:t>
      </w:r>
      <w:r w:rsidRPr="000A29EF">
        <w:rPr>
          <w:rFonts w:ascii="Verdana" w:eastAsia="Times New Roman" w:hAnsi="Verdana" w:cs="Times New Roman"/>
          <w:color w:val="666666"/>
          <w:sz w:val="24"/>
          <w:szCs w:val="24"/>
        </w:rPr>
        <w:br/>
        <w:t>Georgia Environmental Protection Division</w:t>
      </w:r>
      <w:r w:rsidRPr="000A29EF">
        <w:rPr>
          <w:rFonts w:ascii="Verdana" w:eastAsia="Times New Roman" w:hAnsi="Verdana" w:cs="Times New Roman"/>
          <w:color w:val="666666"/>
          <w:sz w:val="24"/>
          <w:szCs w:val="24"/>
        </w:rPr>
        <w:br/>
        <w:t>Phone: (404) 656-3214</w:t>
      </w:r>
      <w:r w:rsidRPr="000A29EF">
        <w:rPr>
          <w:rFonts w:ascii="Verdana" w:eastAsia="Times New Roman" w:hAnsi="Verdana" w:cs="Times New Roman"/>
          <w:color w:val="666666"/>
          <w:sz w:val="24"/>
          <w:szCs w:val="24"/>
        </w:rPr>
        <w:br/>
      </w:r>
      <w:hyperlink r:id="rId6" w:history="1">
        <w:r w:rsidRPr="000A29EF">
          <w:rPr>
            <w:rFonts w:ascii="inherit" w:eastAsia="Times New Roman" w:hAnsi="inherit" w:cs="Times New Roman"/>
            <w:color w:val="92501A"/>
            <w:sz w:val="24"/>
            <w:szCs w:val="24"/>
            <w:u w:val="single"/>
            <w:bdr w:val="none" w:sz="0" w:space="0" w:color="auto" w:frame="1"/>
          </w:rPr>
          <w:t>bijan.rahbar@dnr.state.ga.us</w:t>
        </w:r>
      </w:hyperlink>
    </w:p>
    <w:p w:rsidR="008E368B" w:rsidRDefault="008E368B">
      <w:bookmarkStart w:id="0" w:name="_GoBack"/>
      <w:bookmarkEnd w:id="0"/>
    </w:p>
    <w:sectPr w:rsidR="008E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D6"/>
    <w:multiLevelType w:val="multilevel"/>
    <w:tmpl w:val="C44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7786B"/>
    <w:multiLevelType w:val="multilevel"/>
    <w:tmpl w:val="DA1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A1744E"/>
    <w:multiLevelType w:val="multilevel"/>
    <w:tmpl w:val="6EE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EF"/>
    <w:rsid w:val="000A29EF"/>
    <w:rsid w:val="008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jan.rahbar@dnr.state.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Sottile, Kelli-Ann</dc:creator>
  <cp:lastModifiedBy>Sottile, Kelli-Ann</cp:lastModifiedBy>
  <cp:revision>1</cp:revision>
  <dcterms:created xsi:type="dcterms:W3CDTF">2017-04-27T14:05:00Z</dcterms:created>
  <dcterms:modified xsi:type="dcterms:W3CDTF">2017-04-27T14:06:00Z</dcterms:modified>
</cp:coreProperties>
</file>