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F6E88" w:rsidRPr="002F6E88" w:rsidRDefault="00396970" w:rsidP="002F6E88">
      <w:pPr>
        <w:tabs>
          <w:tab w:val="center" w:pos="5400"/>
        </w:tabs>
        <w:spacing w:after="0" w:line="240" w:lineRule="auto"/>
        <w:jc w:val="both"/>
        <w:rPr>
          <w:rFonts w:ascii="Times New Roman" w:eastAsia="Times New Roman" w:hAnsi="Times New Roman" w:cs="Times New Roman"/>
          <w:b/>
          <w:sz w:val="20"/>
          <w:szCs w:val="20"/>
        </w:rPr>
      </w:pPr>
      <w:r w:rsidRPr="00396970">
        <w:rPr>
          <w:rFonts w:ascii="Times New Roman" w:eastAsia="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editId="36B11C9B">
                <wp:simplePos x="0" y="0"/>
                <wp:positionH relativeFrom="column">
                  <wp:posOffset>4962525</wp:posOffset>
                </wp:positionH>
                <wp:positionV relativeFrom="paragraph">
                  <wp:posOffset>-38100</wp:posOffset>
                </wp:positionV>
                <wp:extent cx="1419225" cy="63817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638175"/>
                        </a:xfrm>
                        <a:prstGeom prst="rect">
                          <a:avLst/>
                        </a:prstGeom>
                        <a:ln>
                          <a:noFill/>
                          <a:headEnd/>
                          <a:tailEnd/>
                        </a:ln>
                      </wps:spPr>
                      <wps:style>
                        <a:lnRef idx="2">
                          <a:schemeClr val="accent2"/>
                        </a:lnRef>
                        <a:fillRef idx="1">
                          <a:schemeClr val="lt1"/>
                        </a:fillRef>
                        <a:effectRef idx="0">
                          <a:schemeClr val="accent2"/>
                        </a:effectRef>
                        <a:fontRef idx="minor">
                          <a:schemeClr val="dk1"/>
                        </a:fontRef>
                      </wps:style>
                      <wps:txbx>
                        <w:txbxContent>
                          <w:p w:rsidR="00396970" w:rsidRPr="00396970" w:rsidRDefault="00396970" w:rsidP="00396970">
                            <w:pPr>
                              <w:jc w:val="center"/>
                              <w:rPr>
                                <w:b/>
                                <w:color w:val="FF0000"/>
                                <w:sz w:val="40"/>
                                <w:szCs w:val="40"/>
                              </w:rPr>
                            </w:pPr>
                            <w:r w:rsidRPr="00396970">
                              <w:rPr>
                                <w:b/>
                                <w:color w:val="FF0000"/>
                                <w:sz w:val="40"/>
                                <w:szCs w:val="40"/>
                              </w:rPr>
                              <w:t>DRAFT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75pt;margin-top:-3pt;width:111.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" fillcolor="white [3201]" stroked="f" strokeweight="2pt">
                <v:textbox>
                  <w:txbxContent>
                    <w:p w:rsidR="00396970" w:rsidRPr="00396970" w:rsidRDefault="00396970" w:rsidP="00396970">
                      <w:pPr>
                        <w:jc w:val="center"/>
                        <w:rPr>
                          <w:b/>
                          <w:color w:val="FF0000"/>
                          <w:sz w:val="40"/>
                          <w:szCs w:val="40"/>
                        </w:rPr>
                      </w:pPr>
                      <w:r w:rsidRPr="00396970">
                        <w:rPr>
                          <w:b/>
                          <w:color w:val="FF0000"/>
                          <w:sz w:val="40"/>
                          <w:szCs w:val="40"/>
                        </w:rPr>
                        <w:t>DRAFT</w:t>
                      </w:r>
                    </w:p>
                  </w:txbxContent>
                </v:textbox>
              </v:shape>
            </w:pict>
          </mc:Fallback>
        </mc:AlternateContent>
      </w:r>
      <w:r w:rsidR="002F6E88">
        <w:rPr>
          <w:rFonts w:ascii="Times New Roman" w:eastAsia="Times New Roman" w:hAnsi="Times New Roman" w:cs="Times New Roman"/>
          <w:b/>
          <w:sz w:val="20"/>
          <w:szCs w:val="20"/>
        </w:rPr>
        <w:tab/>
      </w:r>
      <w:r w:rsidR="002F6E88" w:rsidRPr="002F6E88">
        <w:rPr>
          <w:rFonts w:ascii="Times New Roman" w:eastAsia="Times New Roman" w:hAnsi="Times New Roman" w:cs="Times New Roman"/>
          <w:b/>
          <w:sz w:val="20"/>
          <w:szCs w:val="20"/>
        </w:rPr>
        <w:t>ENVIRONMENTAL PROTECTION DIVISION</w:t>
      </w:r>
    </w:p>
    <w:p w:rsidR="002F6E88" w:rsidRPr="002F6E88" w:rsidRDefault="002F6E88" w:rsidP="002F6E88">
      <w:pPr>
        <w:tabs>
          <w:tab w:val="center" w:pos="5400"/>
        </w:tabs>
        <w:spacing w:after="0" w:line="240" w:lineRule="auto"/>
        <w:jc w:val="both"/>
        <w:rPr>
          <w:rFonts w:ascii="Times New Roman" w:eastAsia="Times New Roman" w:hAnsi="Times New Roman" w:cs="Times New Roman"/>
          <w:b/>
          <w:sz w:val="20"/>
          <w:szCs w:val="20"/>
        </w:rPr>
      </w:pPr>
      <w:r w:rsidRPr="002F6E88">
        <w:rPr>
          <w:rFonts w:ascii="Times New Roman" w:eastAsia="Times New Roman" w:hAnsi="Times New Roman" w:cs="Times New Roman"/>
          <w:b/>
          <w:sz w:val="20"/>
          <w:szCs w:val="20"/>
        </w:rPr>
        <w:tab/>
        <w:t>DEPARTMENT OF NATURAL RESOURCES</w:t>
      </w:r>
    </w:p>
    <w:p w:rsidR="002F6E88" w:rsidRPr="002F6E88" w:rsidRDefault="002F6E88" w:rsidP="002F6E88">
      <w:pPr>
        <w:tabs>
          <w:tab w:val="center" w:pos="5400"/>
        </w:tabs>
        <w:spacing w:after="0" w:line="240" w:lineRule="auto"/>
        <w:jc w:val="both"/>
        <w:rPr>
          <w:rFonts w:ascii="Times New Roman" w:eastAsia="Times New Roman" w:hAnsi="Times New Roman" w:cs="Times New Roman"/>
          <w:sz w:val="20"/>
          <w:szCs w:val="20"/>
        </w:rPr>
      </w:pPr>
      <w:r w:rsidRPr="002F6E88">
        <w:rPr>
          <w:rFonts w:ascii="Times New Roman" w:eastAsia="Times New Roman" w:hAnsi="Times New Roman" w:cs="Times New Roman"/>
          <w:b/>
          <w:sz w:val="20"/>
          <w:szCs w:val="20"/>
        </w:rPr>
        <w:tab/>
        <w:t>STATE OF GEORGIA</w:t>
      </w:r>
    </w:p>
    <w:p w:rsidR="002F6E88" w:rsidRPr="002F6E88" w:rsidRDefault="002F6E88" w:rsidP="002F6E88">
      <w:pPr>
        <w:spacing w:after="0" w:line="240" w:lineRule="auto"/>
        <w:jc w:val="both"/>
        <w:rPr>
          <w:rFonts w:ascii="Times New Roman" w:eastAsia="Times New Roman" w:hAnsi="Times New Roman" w:cs="Times New Roman"/>
          <w:sz w:val="20"/>
          <w:szCs w:val="20"/>
        </w:rPr>
      </w:pPr>
    </w:p>
    <w:p w:rsidR="002F6E88" w:rsidRPr="002F6E88" w:rsidRDefault="002F6E88" w:rsidP="002F6E88">
      <w:pPr>
        <w:keepNext/>
        <w:spacing w:after="0" w:line="240" w:lineRule="auto"/>
        <w:jc w:val="center"/>
        <w:outlineLvl w:val="0"/>
        <w:rPr>
          <w:rFonts w:ascii="Times New Roman" w:eastAsia="Times New Roman" w:hAnsi="Times New Roman" w:cs="Times New Roman"/>
          <w:b/>
          <w:sz w:val="24"/>
          <w:szCs w:val="24"/>
        </w:rPr>
      </w:pPr>
      <w:r w:rsidRPr="002F6E88">
        <w:rPr>
          <w:rFonts w:ascii="Times New Roman" w:eastAsia="Times New Roman" w:hAnsi="Times New Roman" w:cs="Times New Roman"/>
          <w:b/>
          <w:sz w:val="24"/>
          <w:szCs w:val="24"/>
        </w:rPr>
        <w:t>PERMIT TO USE GROUNDWATER</w:t>
      </w:r>
    </w:p>
    <w:tbl>
      <w:tblPr>
        <w:tblW w:w="0" w:type="auto"/>
        <w:jc w:val="center"/>
        <w:tblLayout w:type="fixed"/>
        <w:tblCellMar>
          <w:left w:w="177" w:type="dxa"/>
          <w:right w:w="177" w:type="dxa"/>
        </w:tblCellMar>
        <w:tblLook w:val="0000" w:firstRow="0" w:lastRow="0" w:firstColumn="0" w:lastColumn="0" w:noHBand="0" w:noVBand="0"/>
      </w:tblPr>
      <w:tblGrid>
        <w:gridCol w:w="10800"/>
      </w:tblGrid>
      <w:tr w:rsidR="002F6E88" w:rsidRPr="002F6E88" w:rsidTr="00A1147B">
        <w:trPr>
          <w:jc w:val="center"/>
        </w:trPr>
        <w:tc>
          <w:tcPr>
            <w:tcW w:w="10800" w:type="dxa"/>
            <w:tcBorders>
              <w:top w:val="double" w:sz="7" w:space="0" w:color="000000"/>
              <w:left w:val="double" w:sz="7" w:space="0" w:color="000000"/>
              <w:bottom w:val="single" w:sz="6" w:space="0" w:color="FFFFFF"/>
              <w:right w:val="double" w:sz="7" w:space="0" w:color="000000"/>
            </w:tcBorders>
          </w:tcPr>
          <w:p w:rsidR="002F6E88" w:rsidRPr="002F6E88" w:rsidRDefault="002F6E88" w:rsidP="002F6E88">
            <w:pPr>
              <w:spacing w:after="0" w:line="201" w:lineRule="exact"/>
              <w:rPr>
                <w:rFonts w:ascii="Times New Roman" w:eastAsia="Times New Roman" w:hAnsi="Times New Roman" w:cs="Times New Roman"/>
                <w:b/>
                <w:sz w:val="20"/>
                <w:szCs w:val="20"/>
              </w:rPr>
            </w:pPr>
          </w:p>
          <w:p w:rsidR="002F6E88" w:rsidRPr="002F6E88" w:rsidRDefault="002F6E88" w:rsidP="002F6E88">
            <w:pPr>
              <w:tabs>
                <w:tab w:val="left" w:pos="-1440"/>
              </w:tabs>
              <w:spacing w:after="0" w:line="240" w:lineRule="auto"/>
              <w:ind w:left="7920" w:hanging="7920"/>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 xml:space="preserve">PERMIT NUMBER                         </w:t>
            </w:r>
            <w:r w:rsidRPr="002F6E88">
              <w:rPr>
                <w:rFonts w:ascii="Times New Roman" w:eastAsia="Times New Roman" w:hAnsi="Times New Roman" w:cs="Times New Roman"/>
                <w:b/>
                <w:sz w:val="20"/>
                <w:szCs w:val="20"/>
              </w:rPr>
              <w:t xml:space="preserve">New                                                                       </w:t>
            </w:r>
            <w:r w:rsidRPr="002F6E88">
              <w:rPr>
                <w:rFonts w:ascii="Times New Roman" w:eastAsia="Times New Roman" w:hAnsi="Times New Roman" w:cs="Times New Roman"/>
                <w:sz w:val="20"/>
                <w:szCs w:val="20"/>
              </w:rPr>
              <w:t>DATE:</w:t>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b/>
                <w:sz w:val="20"/>
                <w:szCs w:val="20"/>
              </w:rPr>
              <w:t>Month XX, 201X</w:t>
            </w:r>
          </w:p>
        </w:tc>
      </w:tr>
      <w:tr w:rsidR="002F6E88" w:rsidRPr="002F6E88" w:rsidTr="00A1147B">
        <w:trPr>
          <w:jc w:val="center"/>
        </w:trPr>
        <w:tc>
          <w:tcPr>
            <w:tcW w:w="10800" w:type="dxa"/>
            <w:tcBorders>
              <w:top w:val="single" w:sz="7" w:space="0" w:color="000000"/>
              <w:left w:val="double" w:sz="7" w:space="0" w:color="000000"/>
              <w:bottom w:val="single" w:sz="6" w:space="0" w:color="FFFFFF"/>
              <w:right w:val="double" w:sz="7" w:space="0" w:color="000000"/>
            </w:tcBorders>
          </w:tcPr>
          <w:p w:rsidR="002F6E88" w:rsidRPr="002F6E88" w:rsidRDefault="002F6E88" w:rsidP="002F6E88">
            <w:pPr>
              <w:spacing w:after="0" w:line="163" w:lineRule="exact"/>
              <w:rPr>
                <w:rFonts w:ascii="Times New Roman" w:eastAsia="Times New Roman" w:hAnsi="Times New Roman" w:cs="Times New Roman"/>
                <w:sz w:val="20"/>
                <w:szCs w:val="20"/>
              </w:rPr>
            </w:pPr>
          </w:p>
          <w:p w:rsidR="002F6E88" w:rsidRPr="002F6E88" w:rsidRDefault="002F6E88" w:rsidP="002F6E88">
            <w:pPr>
              <w:tabs>
                <w:tab w:val="left" w:pos="-1440"/>
              </w:tabs>
              <w:spacing w:after="0" w:line="240" w:lineRule="auto"/>
              <w:ind w:left="7920" w:hanging="7920"/>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 xml:space="preserve">PERMIT HOLDER’S NAME         </w:t>
            </w:r>
            <w:r w:rsidRPr="002F6E88">
              <w:rPr>
                <w:rFonts w:ascii="Times New Roman" w:eastAsia="Times New Roman" w:hAnsi="Times New Roman" w:cs="Times New Roman"/>
                <w:b/>
                <w:sz w:val="20"/>
                <w:szCs w:val="20"/>
              </w:rPr>
              <w:t>Wildwood Water</w:t>
            </w:r>
            <w:r>
              <w:rPr>
                <w:rFonts w:ascii="Times New Roman" w:eastAsia="Times New Roman" w:hAnsi="Times New Roman" w:cs="Times New Roman"/>
                <w:b/>
                <w:sz w:val="20"/>
                <w:szCs w:val="20"/>
              </w:rPr>
              <w:t>,</w:t>
            </w:r>
            <w:r w:rsidRPr="002F6E88">
              <w:rPr>
                <w:rFonts w:ascii="Times New Roman" w:eastAsia="Times New Roman" w:hAnsi="Times New Roman" w:cs="Times New Roman"/>
                <w:b/>
                <w:sz w:val="20"/>
                <w:szCs w:val="20"/>
              </w:rPr>
              <w:t xml:space="preserve"> LLC</w:t>
            </w:r>
          </w:p>
        </w:tc>
      </w:tr>
      <w:tr w:rsidR="002F6E88" w:rsidRPr="002F6E88" w:rsidTr="00A1147B">
        <w:trPr>
          <w:jc w:val="center"/>
        </w:trPr>
        <w:tc>
          <w:tcPr>
            <w:tcW w:w="10800" w:type="dxa"/>
            <w:tcBorders>
              <w:top w:val="single" w:sz="7" w:space="0" w:color="000000"/>
              <w:left w:val="double" w:sz="7" w:space="0" w:color="000000"/>
              <w:bottom w:val="single" w:sz="6" w:space="0" w:color="FFFFFF"/>
              <w:right w:val="double" w:sz="7" w:space="0" w:color="000000"/>
            </w:tcBorders>
          </w:tcPr>
          <w:p w:rsidR="002F6E88" w:rsidRPr="002F6E88" w:rsidRDefault="002F6E88" w:rsidP="002F6E88">
            <w:pPr>
              <w:spacing w:after="0" w:line="163" w:lineRule="exact"/>
              <w:rPr>
                <w:rFonts w:ascii="Times New Roman" w:eastAsia="Times New Roman" w:hAnsi="Times New Roman" w:cs="Times New Roman"/>
                <w:sz w:val="20"/>
                <w:szCs w:val="20"/>
              </w:rPr>
            </w:pPr>
          </w:p>
          <w:p w:rsidR="002F6E88" w:rsidRPr="002F6E88" w:rsidRDefault="002F6E88" w:rsidP="002F6E88">
            <w:pPr>
              <w:spacing w:after="0" w:line="240" w:lineRule="auto"/>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PERMIT HOLDER'S ADDRESS</w:t>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b/>
                <w:sz w:val="20"/>
                <w:szCs w:val="20"/>
              </w:rPr>
              <w:t xml:space="preserve"> 1251 Twin Pines Drive, </w:t>
            </w:r>
            <w:r w:rsidRPr="002F6E88">
              <w:rPr>
                <w:rFonts w:ascii="Times New Roman" w:eastAsia="Times New Roman" w:hAnsi="Times New Roman" w:cs="Times New Roman"/>
                <w:b/>
                <w:bCs/>
                <w:sz w:val="20"/>
                <w:szCs w:val="20"/>
              </w:rPr>
              <w:t xml:space="preserve"> </w:t>
            </w:r>
            <w:r w:rsidRPr="002F6E88">
              <w:rPr>
                <w:rFonts w:ascii="Times New Roman" w:eastAsia="Times New Roman" w:hAnsi="Times New Roman" w:cs="Times New Roman"/>
                <w:b/>
                <w:sz w:val="20"/>
                <w:szCs w:val="20"/>
              </w:rPr>
              <w:t>Greensboro, GA 30642</w:t>
            </w:r>
            <w:r w:rsidRPr="002F6E88">
              <w:rPr>
                <w:rFonts w:ascii="Times New Roman" w:eastAsia="Times New Roman" w:hAnsi="Times New Roman" w:cs="Times New Roman"/>
                <w:b/>
                <w:bCs/>
                <w:sz w:val="20"/>
                <w:szCs w:val="20"/>
              </w:rPr>
              <w:t xml:space="preserve">                 -               </w:t>
            </w:r>
            <w:r w:rsidRPr="002F6E88">
              <w:rPr>
                <w:rFonts w:ascii="Times New Roman" w:eastAsia="Times New Roman" w:hAnsi="Times New Roman" w:cs="Times New Roman"/>
                <w:b/>
                <w:sz w:val="20"/>
                <w:szCs w:val="20"/>
              </w:rPr>
              <w:t>Putnam</w:t>
            </w:r>
            <w:r w:rsidRPr="002F6E88">
              <w:rPr>
                <w:rFonts w:ascii="Times New Roman" w:eastAsia="Times New Roman" w:hAnsi="Times New Roman" w:cs="Times New Roman"/>
                <w:b/>
                <w:bCs/>
                <w:sz w:val="20"/>
                <w:szCs w:val="20"/>
              </w:rPr>
              <w:t xml:space="preserve"> County</w:t>
            </w:r>
          </w:p>
        </w:tc>
      </w:tr>
      <w:tr w:rsidR="002F6E88" w:rsidRPr="002F6E88" w:rsidTr="00A1147B">
        <w:trPr>
          <w:jc w:val="center"/>
        </w:trPr>
        <w:tc>
          <w:tcPr>
            <w:tcW w:w="10800" w:type="dxa"/>
            <w:tcBorders>
              <w:top w:val="single" w:sz="7" w:space="0" w:color="000000"/>
              <w:left w:val="double" w:sz="7" w:space="0" w:color="000000"/>
              <w:bottom w:val="single" w:sz="6" w:space="0" w:color="FFFFFF"/>
              <w:right w:val="double" w:sz="7" w:space="0" w:color="000000"/>
            </w:tcBorders>
          </w:tcPr>
          <w:p w:rsidR="002F6E88" w:rsidRPr="002F6E88" w:rsidRDefault="002F6E88" w:rsidP="002F6E88">
            <w:pPr>
              <w:spacing w:after="0" w:line="163" w:lineRule="exact"/>
              <w:rPr>
                <w:rFonts w:ascii="Times New Roman" w:eastAsia="Times New Roman" w:hAnsi="Times New Roman" w:cs="Times New Roman"/>
                <w:sz w:val="20"/>
                <w:szCs w:val="20"/>
              </w:rPr>
            </w:pPr>
          </w:p>
          <w:p w:rsidR="002F6E88" w:rsidRPr="002F6E88" w:rsidRDefault="002F6E88" w:rsidP="002F6E88">
            <w:pPr>
              <w:spacing w:after="0" w:line="240" w:lineRule="auto"/>
              <w:rPr>
                <w:rFonts w:ascii="Times New Roman" w:eastAsia="Times New Roman" w:hAnsi="Times New Roman" w:cs="Arial"/>
                <w:sz w:val="20"/>
                <w:szCs w:val="20"/>
              </w:rPr>
            </w:pPr>
            <w:r w:rsidRPr="002F6E88">
              <w:rPr>
                <w:rFonts w:ascii="Times New Roman" w:eastAsia="Times New Roman" w:hAnsi="Times New Roman" w:cs="Arial"/>
                <w:sz w:val="20"/>
                <w:szCs w:val="20"/>
              </w:rPr>
              <w:t xml:space="preserve">In accordance with the Provisions of the Groundwater Use Act, (O.C.G.A </w:t>
            </w:r>
            <w:r w:rsidRPr="002F6E88">
              <w:rPr>
                <w:rFonts w:ascii="Arial" w:eastAsia="Times New Roman" w:hAnsi="Arial" w:cs="Arial"/>
                <w:sz w:val="20"/>
                <w:szCs w:val="20"/>
              </w:rPr>
              <w:t>§ 12-5-90 et seq.</w:t>
            </w:r>
            <w:r w:rsidRPr="002F6E88">
              <w:rPr>
                <w:rFonts w:ascii="Times New Roman" w:eastAsia="Times New Roman" w:hAnsi="Times New Roman" w:cs="Arial"/>
                <w:sz w:val="20"/>
                <w:szCs w:val="20"/>
              </w:rPr>
              <w:t>) as amended, and the Rules and Regulations for Groundwater Use, Chapter 391-3-2, promulgated pursuant thereto, this Permit is issued to withdraw, obtain, or utilize a maximum system wide total of groundwater in the amount of:</w:t>
            </w:r>
          </w:p>
          <w:p w:rsidR="002F6E88" w:rsidRPr="002F6E88" w:rsidRDefault="002F6E88" w:rsidP="002F6E88">
            <w:pPr>
              <w:spacing w:after="0" w:line="240" w:lineRule="auto"/>
              <w:jc w:val="both"/>
              <w:rPr>
                <w:rFonts w:ascii="Times New Roman" w:eastAsia="Times New Roman" w:hAnsi="Times New Roman" w:cs="Times New Roman"/>
                <w:b/>
                <w:sz w:val="20"/>
                <w:szCs w:val="20"/>
                <w:u w:val="single"/>
              </w:rPr>
            </w:pPr>
            <w:r w:rsidRPr="002F6E88">
              <w:rPr>
                <w:rFonts w:ascii="Times New Roman" w:eastAsia="Times New Roman" w:hAnsi="Times New Roman" w:cs="Times New Roman"/>
                <w:sz w:val="20"/>
                <w:szCs w:val="20"/>
              </w:rPr>
              <w:t xml:space="preserve"> </w:t>
            </w:r>
          </w:p>
          <w:p w:rsidR="002F6E88" w:rsidRPr="002F6E88" w:rsidRDefault="002F6E88" w:rsidP="002F6E88">
            <w:pPr>
              <w:spacing w:after="0" w:line="240" w:lineRule="auto"/>
              <w:ind w:firstLine="720"/>
              <w:jc w:val="both"/>
              <w:rPr>
                <w:rFonts w:ascii="Times New Roman" w:eastAsia="Times New Roman" w:hAnsi="Times New Roman" w:cs="Times New Roman"/>
                <w:sz w:val="20"/>
                <w:szCs w:val="20"/>
              </w:rPr>
            </w:pPr>
            <w:r w:rsidRPr="002F6E88">
              <w:rPr>
                <w:rFonts w:ascii="Times New Roman" w:eastAsia="Times New Roman" w:hAnsi="Times New Roman" w:cs="Times New Roman"/>
                <w:b/>
                <w:sz w:val="20"/>
                <w:szCs w:val="20"/>
                <w:u w:val="single"/>
              </w:rPr>
              <w:t>0.350</w:t>
            </w:r>
            <w:r w:rsidRPr="002F6E88">
              <w:rPr>
                <w:rFonts w:ascii="Times New Roman" w:eastAsia="Times New Roman" w:hAnsi="Times New Roman" w:cs="Times New Roman"/>
                <w:bCs/>
                <w:sz w:val="20"/>
                <w:szCs w:val="20"/>
              </w:rPr>
              <w:t xml:space="preserve"> mi</w:t>
            </w:r>
            <w:r w:rsidRPr="002F6E88">
              <w:rPr>
                <w:rFonts w:ascii="Times New Roman" w:eastAsia="Times New Roman" w:hAnsi="Times New Roman" w:cs="Times New Roman"/>
                <w:sz w:val="20"/>
                <w:szCs w:val="20"/>
              </w:rPr>
              <w:t xml:space="preserve">llion gallons per day monthly average and </w:t>
            </w:r>
            <w:r w:rsidRPr="002F6E88">
              <w:rPr>
                <w:rFonts w:ascii="Times New Roman" w:eastAsia="Times New Roman" w:hAnsi="Times New Roman" w:cs="Times New Roman"/>
                <w:b/>
                <w:sz w:val="20"/>
                <w:szCs w:val="20"/>
                <w:u w:val="single"/>
              </w:rPr>
              <w:t>0.350</w:t>
            </w:r>
            <w:r w:rsidRPr="002F6E88">
              <w:rPr>
                <w:rFonts w:ascii="Times New Roman" w:eastAsia="Times New Roman" w:hAnsi="Times New Roman" w:cs="Times New Roman"/>
                <w:sz w:val="20"/>
                <w:szCs w:val="20"/>
              </w:rPr>
              <w:t xml:space="preserve"> million gallons per day annual average;</w:t>
            </w:r>
          </w:p>
          <w:p w:rsidR="002F6E88" w:rsidRPr="002F6E88" w:rsidRDefault="002F6E88" w:rsidP="002F6E88">
            <w:pPr>
              <w:spacing w:after="0" w:line="240" w:lineRule="auto"/>
              <w:jc w:val="both"/>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 xml:space="preserve"> </w:t>
            </w:r>
          </w:p>
          <w:p w:rsidR="002F6E88" w:rsidRPr="002F6E88" w:rsidRDefault="002F6E88" w:rsidP="002F6E88">
            <w:pPr>
              <w:spacing w:after="0" w:line="240" w:lineRule="auto"/>
              <w:jc w:val="both"/>
              <w:rPr>
                <w:rFonts w:ascii="Times New Roman" w:eastAsia="Times New Roman" w:hAnsi="Times New Roman" w:cs="Times New Roman"/>
                <w:b/>
                <w:bCs/>
                <w:sz w:val="20"/>
                <w:szCs w:val="20"/>
                <w:u w:val="single"/>
              </w:rPr>
            </w:pPr>
            <w:proofErr w:type="gramStart"/>
            <w:r w:rsidRPr="002F6E88">
              <w:rPr>
                <w:rFonts w:ascii="Times New Roman" w:eastAsia="Times New Roman" w:hAnsi="Times New Roman" w:cs="Times New Roman"/>
                <w:sz w:val="20"/>
                <w:szCs w:val="20"/>
              </w:rPr>
              <w:t>from</w:t>
            </w:r>
            <w:proofErr w:type="gramEnd"/>
            <w:r w:rsidRPr="002F6E88">
              <w:rPr>
                <w:rFonts w:ascii="Times New Roman" w:eastAsia="Times New Roman" w:hAnsi="Times New Roman" w:cs="Times New Roman"/>
                <w:sz w:val="20"/>
                <w:szCs w:val="20"/>
              </w:rPr>
              <w:t xml:space="preserve"> </w:t>
            </w:r>
            <w:r w:rsidRPr="002F6E88">
              <w:rPr>
                <w:rFonts w:ascii="Times New Roman" w:eastAsia="Times New Roman" w:hAnsi="Times New Roman" w:cs="Times New Roman"/>
                <w:b/>
                <w:sz w:val="20"/>
                <w:szCs w:val="20"/>
                <w:u w:val="single"/>
              </w:rPr>
              <w:t>nine</w:t>
            </w:r>
            <w:r w:rsidRPr="002F6E88">
              <w:rPr>
                <w:rFonts w:ascii="Times New Roman" w:eastAsia="Times New Roman" w:hAnsi="Times New Roman" w:cs="Times New Roman"/>
                <w:sz w:val="20"/>
                <w:szCs w:val="20"/>
              </w:rPr>
              <w:t xml:space="preserve"> well(s) located at </w:t>
            </w:r>
            <w:r w:rsidRPr="002F6E88">
              <w:rPr>
                <w:rFonts w:ascii="Times New Roman" w:eastAsia="Times New Roman" w:hAnsi="Times New Roman" w:cs="Times New Roman"/>
                <w:b/>
                <w:sz w:val="20"/>
                <w:szCs w:val="20"/>
                <w:u w:val="single"/>
              </w:rPr>
              <w:t>Greensboro,</w:t>
            </w:r>
            <w:r w:rsidRPr="002F6E88">
              <w:rPr>
                <w:rFonts w:ascii="Times New Roman" w:eastAsia="Times New Roman" w:hAnsi="Times New Roman" w:cs="Times New Roman"/>
                <w:b/>
                <w:bCs/>
                <w:sz w:val="20"/>
                <w:szCs w:val="20"/>
                <w:u w:val="single"/>
              </w:rPr>
              <w:t xml:space="preserve"> Georgia </w:t>
            </w:r>
            <w:r w:rsidRPr="002F6E88">
              <w:rPr>
                <w:rFonts w:ascii="Times New Roman" w:eastAsia="Times New Roman" w:hAnsi="Times New Roman" w:cs="Times New Roman"/>
                <w:b/>
                <w:bCs/>
                <w:sz w:val="20"/>
                <w:szCs w:val="20"/>
                <w:u w:val="single"/>
              </w:rPr>
              <w:sym w:font="Symbol" w:char="F02D"/>
            </w:r>
            <w:r w:rsidRPr="002F6E88">
              <w:rPr>
                <w:rFonts w:ascii="Times New Roman" w:eastAsia="Times New Roman" w:hAnsi="Times New Roman" w:cs="Times New Roman"/>
                <w:b/>
                <w:bCs/>
                <w:sz w:val="20"/>
                <w:szCs w:val="20"/>
                <w:u w:val="single"/>
              </w:rPr>
              <w:t xml:space="preserve"> </w:t>
            </w:r>
            <w:r w:rsidRPr="002F6E88">
              <w:rPr>
                <w:rFonts w:ascii="Times New Roman" w:eastAsia="Times New Roman" w:hAnsi="Times New Roman" w:cs="Times New Roman"/>
                <w:b/>
                <w:sz w:val="20"/>
                <w:szCs w:val="20"/>
                <w:u w:val="single"/>
              </w:rPr>
              <w:t>Putnam</w:t>
            </w:r>
            <w:r w:rsidRPr="002F6E88">
              <w:rPr>
                <w:rFonts w:ascii="Times New Roman" w:eastAsia="Times New Roman" w:hAnsi="Times New Roman" w:cs="Times New Roman"/>
                <w:b/>
                <w:bCs/>
                <w:sz w:val="20"/>
                <w:szCs w:val="20"/>
                <w:u w:val="single"/>
              </w:rPr>
              <w:t xml:space="preserve"> County</w:t>
            </w:r>
            <w:r w:rsidRPr="002F6E88">
              <w:rPr>
                <w:rFonts w:ascii="Times New Roman" w:eastAsia="Times New Roman" w:hAnsi="Times New Roman" w:cs="Times New Roman"/>
                <w:sz w:val="20"/>
                <w:szCs w:val="20"/>
              </w:rPr>
              <w:t xml:space="preserve"> for the purpose of a consumptive use for </w:t>
            </w:r>
            <w:r w:rsidRPr="002F6E88">
              <w:rPr>
                <w:rFonts w:ascii="Times New Roman" w:eastAsia="Times New Roman" w:hAnsi="Times New Roman" w:cs="Times New Roman"/>
                <w:b/>
                <w:sz w:val="20"/>
                <w:szCs w:val="20"/>
                <w:u w:val="single"/>
              </w:rPr>
              <w:t>a central water supply</w:t>
            </w:r>
            <w:r w:rsidRPr="002F6E88">
              <w:rPr>
                <w:rFonts w:ascii="Times New Roman" w:eastAsia="Times New Roman" w:hAnsi="Times New Roman" w:cs="Times New Roman"/>
                <w:sz w:val="20"/>
                <w:szCs w:val="20"/>
              </w:rPr>
              <w:t>.</w:t>
            </w:r>
          </w:p>
        </w:tc>
      </w:tr>
      <w:tr w:rsidR="002F6E88" w:rsidRPr="002F6E88" w:rsidTr="00A1147B">
        <w:trPr>
          <w:jc w:val="center"/>
        </w:trPr>
        <w:tc>
          <w:tcPr>
            <w:tcW w:w="10800" w:type="dxa"/>
            <w:tcBorders>
              <w:top w:val="double" w:sz="7" w:space="0" w:color="000000"/>
              <w:left w:val="double" w:sz="7" w:space="0" w:color="000000"/>
              <w:bottom w:val="double" w:sz="7" w:space="0" w:color="000000"/>
              <w:right w:val="double" w:sz="7" w:space="0" w:color="000000"/>
            </w:tcBorders>
          </w:tcPr>
          <w:p w:rsidR="002F6E88" w:rsidRPr="002F6E88" w:rsidRDefault="002F6E88" w:rsidP="002F6E88">
            <w:pPr>
              <w:spacing w:after="0" w:line="201" w:lineRule="exact"/>
              <w:rPr>
                <w:rFonts w:ascii="Times New Roman" w:eastAsia="Times New Roman" w:hAnsi="Times New Roman" w:cs="Times New Roman"/>
                <w:sz w:val="20"/>
                <w:szCs w:val="20"/>
              </w:rPr>
            </w:pPr>
          </w:p>
          <w:p w:rsidR="002F6E88" w:rsidRPr="002F6E88" w:rsidRDefault="002F6E88" w:rsidP="002F6E88">
            <w:pPr>
              <w:tabs>
                <w:tab w:val="left" w:pos="-1440"/>
              </w:tabs>
              <w:spacing w:after="0" w:line="240" w:lineRule="auto"/>
              <w:ind w:left="7200" w:hanging="7200"/>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This Permit is conditioned upon the permit holder complying with the following:</w:t>
            </w:r>
            <w:r w:rsidRPr="002F6E88">
              <w:rPr>
                <w:rFonts w:ascii="Times New Roman" w:eastAsia="Times New Roman" w:hAnsi="Times New Roman" w:cs="Times New Roman"/>
                <w:sz w:val="20"/>
                <w:szCs w:val="20"/>
              </w:rPr>
              <w:tab/>
            </w:r>
          </w:p>
          <w:p w:rsidR="002F6E88" w:rsidRPr="002F6E88" w:rsidRDefault="002F6E88" w:rsidP="002F6E88">
            <w:pPr>
              <w:spacing w:after="0" w:line="240" w:lineRule="auto"/>
              <w:ind w:left="7200"/>
              <w:rPr>
                <w:rFonts w:ascii="Times New Roman" w:eastAsia="Times New Roman" w:hAnsi="Times New Roman" w:cs="Times New Roman"/>
                <w:sz w:val="20"/>
                <w:szCs w:val="20"/>
              </w:rPr>
            </w:pPr>
          </w:p>
          <w:p w:rsidR="002F6E88" w:rsidRPr="002F6E88" w:rsidRDefault="002F6E88" w:rsidP="002F6E88">
            <w:pPr>
              <w:spacing w:after="0" w:line="240" w:lineRule="auto"/>
              <w:jc w:val="center"/>
              <w:rPr>
                <w:rFonts w:ascii="Times New Roman" w:eastAsia="Times New Roman" w:hAnsi="Times New Roman" w:cs="Times New Roman"/>
                <w:sz w:val="20"/>
                <w:szCs w:val="20"/>
                <w:u w:val="single"/>
              </w:rPr>
            </w:pPr>
            <w:r w:rsidRPr="002F6E88">
              <w:rPr>
                <w:rFonts w:ascii="Times New Roman" w:eastAsia="Times New Roman" w:hAnsi="Times New Roman" w:cs="Times New Roman"/>
                <w:b/>
                <w:sz w:val="20"/>
                <w:szCs w:val="20"/>
                <w:u w:val="single"/>
              </w:rPr>
              <w:t>STANDARD CONDITIONS</w:t>
            </w:r>
          </w:p>
          <w:p w:rsidR="002F6E88" w:rsidRPr="002F6E88" w:rsidRDefault="002F6E88" w:rsidP="002F6E88">
            <w:pPr>
              <w:spacing w:after="0" w:line="240" w:lineRule="auto"/>
              <w:rPr>
                <w:rFonts w:ascii="Times New Roman" w:eastAsia="Times New Roman" w:hAnsi="Times New Roman" w:cs="Times New Roman"/>
                <w:sz w:val="20"/>
                <w:szCs w:val="20"/>
              </w:rPr>
            </w:pPr>
          </w:p>
          <w:p w:rsidR="002F6E88" w:rsidRPr="002F6E88" w:rsidRDefault="002F6E88" w:rsidP="002F6E88">
            <w:pPr>
              <w:tabs>
                <w:tab w:val="left" w:pos="-1440"/>
              </w:tabs>
              <w:spacing w:after="0" w:line="240" w:lineRule="auto"/>
              <w:ind w:left="720" w:hanging="720"/>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(1)</w:t>
            </w:r>
            <w:r w:rsidRPr="002F6E88">
              <w:rPr>
                <w:rFonts w:ascii="Times New Roman" w:eastAsia="Times New Roman" w:hAnsi="Times New Roman" w:cs="Times New Roman"/>
                <w:sz w:val="20"/>
                <w:szCs w:val="20"/>
              </w:rPr>
              <w:tab/>
              <w:t>The provisions of the Groundwater Use Act, as amended, or any of the Rules and Regulations promulgated pursuant thereto;</w:t>
            </w:r>
          </w:p>
          <w:p w:rsidR="002F6E88" w:rsidRPr="002F6E88" w:rsidRDefault="002F6E88" w:rsidP="002F6E88">
            <w:pPr>
              <w:tabs>
                <w:tab w:val="left" w:pos="-1440"/>
              </w:tabs>
              <w:spacing w:after="0" w:line="240" w:lineRule="auto"/>
              <w:ind w:left="720" w:hanging="720"/>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(2)</w:t>
            </w:r>
            <w:r w:rsidRPr="002F6E88">
              <w:rPr>
                <w:rFonts w:ascii="Times New Roman" w:eastAsia="Times New Roman" w:hAnsi="Times New Roman" w:cs="Times New Roman"/>
                <w:sz w:val="20"/>
                <w:szCs w:val="20"/>
              </w:rPr>
              <w:tab/>
              <w:t>The Permit must not be transferred except with the approval of the Georgia Environmental Protection Division (EPD);</w:t>
            </w:r>
          </w:p>
          <w:p w:rsidR="002F6E88" w:rsidRPr="002F6E88" w:rsidRDefault="002F6E88" w:rsidP="002F6E88">
            <w:pPr>
              <w:widowControl w:val="0"/>
              <w:numPr>
                <w:ilvl w:val="0"/>
                <w:numId w:val="1"/>
              </w:numPr>
              <w:tabs>
                <w:tab w:val="left" w:pos="-1440"/>
              </w:tabs>
              <w:spacing w:after="0" w:line="240" w:lineRule="auto"/>
              <w:ind w:hanging="720"/>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The Groundwater Withdrawal Report will be submitted MONTHLY in accordance with the following schedule:</w:t>
            </w:r>
          </w:p>
          <w:p w:rsidR="002F6E88" w:rsidRPr="002F6E88" w:rsidRDefault="002F6E88" w:rsidP="002F6E88">
            <w:pPr>
              <w:widowControl w:val="0"/>
              <w:numPr>
                <w:ilvl w:val="0"/>
                <w:numId w:val="2"/>
              </w:numPr>
              <w:tabs>
                <w:tab w:val="left" w:pos="-1440"/>
                <w:tab w:val="left" w:pos="1080"/>
              </w:tabs>
              <w:spacing w:after="0" w:line="240" w:lineRule="auto"/>
              <w:ind w:left="1080"/>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Production between the first day of the month and the last day of the month will be submitted to EPD by the 10</w:t>
            </w:r>
            <w:r w:rsidRPr="002F6E88">
              <w:rPr>
                <w:rFonts w:ascii="Times New Roman" w:eastAsia="Times New Roman" w:hAnsi="Times New Roman" w:cs="Times New Roman"/>
                <w:sz w:val="20"/>
                <w:szCs w:val="20"/>
                <w:vertAlign w:val="superscript"/>
              </w:rPr>
              <w:t>th</w:t>
            </w:r>
            <w:r w:rsidRPr="002F6E88">
              <w:rPr>
                <w:rFonts w:ascii="Times New Roman" w:eastAsia="Times New Roman" w:hAnsi="Times New Roman" w:cs="Times New Roman"/>
                <w:sz w:val="20"/>
                <w:szCs w:val="20"/>
              </w:rPr>
              <w:t xml:space="preserve"> day of the following month (ex. January 1</w:t>
            </w:r>
            <w:r w:rsidRPr="002F6E88">
              <w:rPr>
                <w:rFonts w:ascii="Times New Roman" w:eastAsia="Times New Roman" w:hAnsi="Times New Roman" w:cs="Times New Roman"/>
                <w:sz w:val="20"/>
                <w:szCs w:val="20"/>
                <w:vertAlign w:val="superscript"/>
              </w:rPr>
              <w:t>st</w:t>
            </w:r>
            <w:r w:rsidRPr="002F6E88">
              <w:rPr>
                <w:rFonts w:ascii="Times New Roman" w:eastAsia="Times New Roman" w:hAnsi="Times New Roman" w:cs="Times New Roman"/>
                <w:sz w:val="20"/>
                <w:szCs w:val="20"/>
              </w:rPr>
              <w:t xml:space="preserve"> through January 31</w:t>
            </w:r>
            <w:r w:rsidRPr="002F6E88">
              <w:rPr>
                <w:rFonts w:ascii="Times New Roman" w:eastAsia="Times New Roman" w:hAnsi="Times New Roman" w:cs="Times New Roman"/>
                <w:sz w:val="20"/>
                <w:szCs w:val="20"/>
                <w:vertAlign w:val="superscript"/>
              </w:rPr>
              <w:t>st</w:t>
            </w:r>
            <w:r w:rsidRPr="002F6E88">
              <w:rPr>
                <w:rFonts w:ascii="Times New Roman" w:eastAsia="Times New Roman" w:hAnsi="Times New Roman" w:cs="Times New Roman"/>
                <w:sz w:val="20"/>
                <w:szCs w:val="20"/>
              </w:rPr>
              <w:t xml:space="preserve"> groundwater withdrawal data will be reported to the EPD by February 10</w:t>
            </w:r>
            <w:r w:rsidRPr="002F6E88">
              <w:rPr>
                <w:rFonts w:ascii="Times New Roman" w:eastAsia="Times New Roman" w:hAnsi="Times New Roman" w:cs="Times New Roman"/>
                <w:sz w:val="20"/>
                <w:szCs w:val="20"/>
                <w:vertAlign w:val="superscript"/>
              </w:rPr>
              <w:t>th</w:t>
            </w:r>
            <w:r w:rsidRPr="002F6E88">
              <w:rPr>
                <w:rFonts w:ascii="Times New Roman" w:eastAsia="Times New Roman" w:hAnsi="Times New Roman" w:cs="Times New Roman"/>
                <w:sz w:val="20"/>
                <w:szCs w:val="20"/>
              </w:rPr>
              <w:t>).</w:t>
            </w:r>
          </w:p>
          <w:p w:rsidR="002F6E88" w:rsidRPr="002F6E88" w:rsidRDefault="002F6E88" w:rsidP="002F6E88">
            <w:pPr>
              <w:tabs>
                <w:tab w:val="left" w:pos="-1440"/>
              </w:tabs>
              <w:spacing w:after="0" w:line="240" w:lineRule="auto"/>
              <w:ind w:left="720" w:hanging="720"/>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(4)</w:t>
            </w:r>
            <w:r w:rsidRPr="002F6E88">
              <w:rPr>
                <w:rFonts w:ascii="Times New Roman" w:eastAsia="Times New Roman" w:hAnsi="Times New Roman" w:cs="Times New Roman"/>
                <w:sz w:val="20"/>
                <w:szCs w:val="20"/>
              </w:rPr>
              <w:tab/>
              <w:t>The withdrawal of groundwater is limited to the quantities and purpose of the water herein specified.</w:t>
            </w:r>
          </w:p>
          <w:p w:rsidR="002F6E88" w:rsidRPr="002F6E88" w:rsidRDefault="002F6E88" w:rsidP="002F6E88">
            <w:pPr>
              <w:spacing w:after="0" w:line="240" w:lineRule="auto"/>
              <w:rPr>
                <w:rFonts w:ascii="Times New Roman" w:eastAsia="Times New Roman" w:hAnsi="Times New Roman" w:cs="Times New Roman"/>
                <w:sz w:val="20"/>
                <w:szCs w:val="20"/>
              </w:rPr>
            </w:pPr>
          </w:p>
          <w:p w:rsidR="002F6E88" w:rsidRPr="002F6E88" w:rsidRDefault="002F6E88" w:rsidP="002F6E88">
            <w:pPr>
              <w:tabs>
                <w:tab w:val="center" w:pos="5223"/>
              </w:tabs>
              <w:spacing w:after="0" w:line="240" w:lineRule="auto"/>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b/>
                <w:sz w:val="20"/>
                <w:szCs w:val="20"/>
                <w:u w:val="single"/>
              </w:rPr>
              <w:t>SPECIAL CONDITIONS</w:t>
            </w:r>
          </w:p>
          <w:p w:rsidR="002F6E88" w:rsidRPr="002F6E88" w:rsidRDefault="002F6E88" w:rsidP="002F6E88">
            <w:pPr>
              <w:spacing w:after="0" w:line="240" w:lineRule="auto"/>
              <w:rPr>
                <w:rFonts w:ascii="Times New Roman" w:eastAsia="Times New Roman" w:hAnsi="Times New Roman" w:cs="Times New Roman"/>
                <w:sz w:val="20"/>
                <w:szCs w:val="20"/>
              </w:rPr>
            </w:pPr>
          </w:p>
          <w:p w:rsidR="002F6E88" w:rsidRPr="002F6E88" w:rsidRDefault="002F6E88" w:rsidP="002F6E88">
            <w:pPr>
              <w:widowControl w:val="0"/>
              <w:numPr>
                <w:ilvl w:val="0"/>
                <w:numId w:val="3"/>
              </w:numPr>
              <w:tabs>
                <w:tab w:val="left" w:pos="-1440"/>
              </w:tabs>
              <w:spacing w:after="0" w:line="240" w:lineRule="auto"/>
              <w:ind w:hanging="717"/>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 xml:space="preserve">This Permit is valid for ground water withdrawal from the </w:t>
            </w:r>
            <w:r w:rsidRPr="002F6E88">
              <w:rPr>
                <w:rFonts w:ascii="Times New Roman" w:eastAsia="Times New Roman" w:hAnsi="Times New Roman" w:cs="Times New Roman"/>
                <w:b/>
                <w:sz w:val="20"/>
                <w:szCs w:val="20"/>
                <w:u w:val="single"/>
              </w:rPr>
              <w:t>Crystalline Rock</w:t>
            </w:r>
            <w:r w:rsidRPr="002F6E88">
              <w:rPr>
                <w:rFonts w:ascii="Times New Roman" w:eastAsia="Times New Roman" w:hAnsi="Times New Roman" w:cs="Times New Roman"/>
                <w:sz w:val="20"/>
                <w:szCs w:val="20"/>
              </w:rPr>
              <w:t xml:space="preserve"> Aquifer.  No other aquifer(s) can be used without the approval of the EPD.</w:t>
            </w:r>
          </w:p>
          <w:p w:rsidR="002F6E88" w:rsidRPr="002F6E88" w:rsidRDefault="002F6E88" w:rsidP="002F6E88">
            <w:pPr>
              <w:widowControl w:val="0"/>
              <w:numPr>
                <w:ilvl w:val="0"/>
                <w:numId w:val="3"/>
              </w:numPr>
              <w:tabs>
                <w:tab w:val="left" w:pos="-1440"/>
              </w:tabs>
              <w:spacing w:after="0" w:line="240" w:lineRule="auto"/>
              <w:ind w:hanging="717"/>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If multiple aquifers are designated in Special Condition (5) above, groundwater withdrawal of each aquifer must be reported separately.  Each aquifer must be identified on the Groundwater Withdrawal Report, as well as listing the well or wells that are producing in each aquifer.  If a well is producing in more than one aquifer, it is to be noted.  The Groundwater Withdrawal Report must be submitted in accordance with the schedule outlined in Standard Condition (3) of this permit.</w:t>
            </w:r>
          </w:p>
          <w:p w:rsidR="002F6E88" w:rsidRPr="002F6E88" w:rsidRDefault="002F6E88" w:rsidP="002F6E88">
            <w:pPr>
              <w:widowControl w:val="0"/>
              <w:numPr>
                <w:ilvl w:val="0"/>
                <w:numId w:val="3"/>
              </w:numPr>
              <w:tabs>
                <w:tab w:val="left" w:pos="-1440"/>
              </w:tabs>
              <w:spacing w:after="0" w:line="240" w:lineRule="auto"/>
              <w:ind w:hanging="717"/>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The replacement of any permitted well must receive prior approval from EPD.</w:t>
            </w:r>
          </w:p>
          <w:p w:rsidR="002F6E88" w:rsidRPr="002F6E88" w:rsidRDefault="002F6E88" w:rsidP="002F6E88">
            <w:pPr>
              <w:spacing w:after="0" w:line="240" w:lineRule="auto"/>
              <w:rPr>
                <w:rFonts w:ascii="Times New Roman" w:eastAsia="Times New Roman" w:hAnsi="Times New Roman" w:cs="Times New Roman"/>
                <w:sz w:val="20"/>
                <w:szCs w:val="20"/>
              </w:rPr>
            </w:pPr>
          </w:p>
          <w:p w:rsidR="002F6E88" w:rsidRPr="002F6E88" w:rsidRDefault="002F6E88" w:rsidP="00AE4C67">
            <w:pPr>
              <w:spacing w:after="58" w:line="240" w:lineRule="auto"/>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 xml:space="preserve">And the additional attached conditions (8 through </w:t>
            </w:r>
            <w:r w:rsidR="00AE4C67">
              <w:rPr>
                <w:rFonts w:ascii="Times New Roman" w:eastAsia="Times New Roman" w:hAnsi="Times New Roman" w:cs="Times New Roman"/>
                <w:sz w:val="20"/>
                <w:szCs w:val="20"/>
              </w:rPr>
              <w:t>13</w:t>
            </w:r>
            <w:r w:rsidRPr="002F6E88">
              <w:rPr>
                <w:rFonts w:ascii="Times New Roman" w:eastAsia="Times New Roman" w:hAnsi="Times New Roman" w:cs="Times New Roman"/>
                <w:sz w:val="20"/>
                <w:szCs w:val="20"/>
              </w:rPr>
              <w:t>), which are hereby made a part of this Permit.</w:t>
            </w:r>
          </w:p>
        </w:tc>
      </w:tr>
      <w:tr w:rsidR="002F6E88" w:rsidRPr="002F6E88" w:rsidTr="00A1147B">
        <w:trPr>
          <w:jc w:val="center"/>
        </w:trPr>
        <w:tc>
          <w:tcPr>
            <w:tcW w:w="10800" w:type="dxa"/>
            <w:tcBorders>
              <w:top w:val="single" w:sz="7" w:space="0" w:color="000000"/>
              <w:left w:val="double" w:sz="7" w:space="0" w:color="000000"/>
              <w:bottom w:val="double" w:sz="6" w:space="0" w:color="000000"/>
              <w:right w:val="double" w:sz="7" w:space="0" w:color="000000"/>
            </w:tcBorders>
          </w:tcPr>
          <w:p w:rsidR="002F6E88" w:rsidRPr="002F6E88" w:rsidRDefault="002F6E88" w:rsidP="002F6E88">
            <w:pPr>
              <w:tabs>
                <w:tab w:val="left" w:pos="4125"/>
              </w:tabs>
              <w:spacing w:after="0" w:line="163" w:lineRule="exact"/>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ab/>
            </w:r>
          </w:p>
          <w:p w:rsidR="002F6E88" w:rsidRPr="002F6E88" w:rsidRDefault="002F6E88" w:rsidP="002F6E88">
            <w:pPr>
              <w:spacing w:after="0" w:line="240" w:lineRule="auto"/>
              <w:jc w:val="both"/>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 xml:space="preserve">In accordance with the application dated </w:t>
            </w:r>
            <w:r w:rsidRPr="002F6E88">
              <w:rPr>
                <w:rFonts w:ascii="Times New Roman" w:eastAsia="Times New Roman" w:hAnsi="Times New Roman" w:cs="Times New Roman"/>
                <w:b/>
                <w:sz w:val="20"/>
                <w:szCs w:val="20"/>
                <w:u w:val="single"/>
              </w:rPr>
              <w:t>July 15, 2014</w:t>
            </w:r>
            <w:r w:rsidRPr="002F6E88">
              <w:rPr>
                <w:rFonts w:ascii="Times New Roman" w:eastAsia="Times New Roman" w:hAnsi="Times New Roman" w:cs="Times New Roman"/>
                <w:sz w:val="20"/>
                <w:szCs w:val="20"/>
              </w:rPr>
              <w:t xml:space="preserve"> and in conformity with the statements and supporting data entered therein or attached thereto, all of which are filed with the EPD and are hereby made part of this Permit.</w:t>
            </w:r>
          </w:p>
          <w:p w:rsidR="002F6E88" w:rsidRPr="002F6E88" w:rsidRDefault="002F6E88" w:rsidP="002F6E88">
            <w:pPr>
              <w:spacing w:after="0" w:line="240" w:lineRule="auto"/>
              <w:jc w:val="both"/>
              <w:rPr>
                <w:rFonts w:ascii="Times New Roman" w:eastAsia="Times New Roman" w:hAnsi="Times New Roman" w:cs="Times New Roman"/>
                <w:sz w:val="20"/>
                <w:szCs w:val="20"/>
              </w:rPr>
            </w:pPr>
          </w:p>
          <w:p w:rsidR="002F6E88" w:rsidRPr="002F6E88" w:rsidRDefault="002F6E88" w:rsidP="002F6E88">
            <w:pPr>
              <w:spacing w:after="0" w:line="240" w:lineRule="auto"/>
              <w:jc w:val="both"/>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This permit is effective from the date first above written and is subject to revocation on evidence of noncompliance with any of the provisions of the Groundwater Use Act, as amended, or any of the Rules and Regulations promulgated pursuant thereto; or with any representation made in the above mentioned application or the statements and supporting data entered therein or attached thereto; or with any condition of this permit.</w:t>
            </w:r>
          </w:p>
          <w:p w:rsidR="002F6E88" w:rsidRPr="002F6E88" w:rsidRDefault="002F6E88" w:rsidP="002F6E88">
            <w:pPr>
              <w:spacing w:after="0" w:line="240" w:lineRule="auto"/>
              <w:jc w:val="both"/>
              <w:rPr>
                <w:rFonts w:ascii="Times New Roman" w:eastAsia="Times New Roman" w:hAnsi="Times New Roman" w:cs="Times New Roman"/>
                <w:sz w:val="20"/>
                <w:szCs w:val="20"/>
              </w:rPr>
            </w:pPr>
          </w:p>
          <w:p w:rsidR="002F6E88" w:rsidRPr="002F6E88" w:rsidRDefault="002F6E88" w:rsidP="002F6E88">
            <w:pPr>
              <w:spacing w:after="58" w:line="240" w:lineRule="auto"/>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 xml:space="preserve">Absent prior revocation in accordance with the above language, this Permit will expire on the </w:t>
            </w:r>
            <w:proofErr w:type="spellStart"/>
            <w:r w:rsidRPr="002F6E88">
              <w:rPr>
                <w:rFonts w:ascii="Times New Roman" w:eastAsia="Times New Roman" w:hAnsi="Times New Roman" w:cs="Times New Roman"/>
                <w:b/>
                <w:sz w:val="20"/>
                <w:szCs w:val="20"/>
                <w:u w:val="single"/>
              </w:rPr>
              <w:t>XXth</w:t>
            </w:r>
            <w:proofErr w:type="spellEnd"/>
            <w:r w:rsidRPr="002F6E88">
              <w:rPr>
                <w:rFonts w:ascii="Times New Roman" w:eastAsia="Times New Roman" w:hAnsi="Times New Roman" w:cs="Times New Roman"/>
                <w:b/>
                <w:sz w:val="20"/>
                <w:szCs w:val="20"/>
                <w:u w:val="single"/>
              </w:rPr>
              <w:t xml:space="preserve"> day of Month, 202X</w:t>
            </w:r>
            <w:r w:rsidRPr="002F6E88">
              <w:rPr>
                <w:rFonts w:ascii="Times New Roman" w:eastAsia="Times New Roman" w:hAnsi="Times New Roman" w:cs="Times New Roman"/>
                <w:b/>
                <w:bCs/>
                <w:sz w:val="20"/>
                <w:szCs w:val="20"/>
              </w:rPr>
              <w:t>.</w:t>
            </w:r>
          </w:p>
        </w:tc>
      </w:tr>
      <w:tr w:rsidR="002F6E88" w:rsidRPr="002F6E88" w:rsidTr="00A1147B">
        <w:trPr>
          <w:jc w:val="center"/>
        </w:trPr>
        <w:tc>
          <w:tcPr>
            <w:tcW w:w="10800" w:type="dxa"/>
            <w:tcBorders>
              <w:top w:val="double" w:sz="6" w:space="0" w:color="000000"/>
              <w:left w:val="double" w:sz="6" w:space="0" w:color="000000"/>
              <w:bottom w:val="double" w:sz="6" w:space="0" w:color="000000"/>
              <w:right w:val="double" w:sz="6" w:space="0" w:color="000000"/>
            </w:tcBorders>
          </w:tcPr>
          <w:p w:rsidR="002F6E88" w:rsidRPr="002F6E88" w:rsidRDefault="002F6E88" w:rsidP="002F6E88">
            <w:pPr>
              <w:tabs>
                <w:tab w:val="left" w:pos="-1440"/>
              </w:tabs>
              <w:spacing w:after="0" w:line="240" w:lineRule="auto"/>
              <w:ind w:left="6480" w:hanging="6480"/>
              <w:rPr>
                <w:rFonts w:ascii="Times New Roman" w:eastAsia="Times New Roman" w:hAnsi="Times New Roman" w:cs="Times New Roman"/>
                <w:sz w:val="20"/>
                <w:szCs w:val="20"/>
              </w:rPr>
            </w:pPr>
          </w:p>
          <w:p w:rsidR="002F6E88" w:rsidRPr="002F6E88" w:rsidRDefault="002F6E88" w:rsidP="002F6E88">
            <w:pPr>
              <w:tabs>
                <w:tab w:val="left" w:pos="-1440"/>
              </w:tabs>
              <w:spacing w:after="0" w:line="240" w:lineRule="auto"/>
              <w:ind w:left="6480" w:hanging="6480"/>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DIRECTOR'S SIGNATURE                                        DATE:</w:t>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t>Director</w:t>
            </w:r>
          </w:p>
          <w:p w:rsidR="002F6E88" w:rsidRPr="002F6E88" w:rsidRDefault="002F6E88" w:rsidP="002F6E88">
            <w:pPr>
              <w:spacing w:after="0" w:line="240" w:lineRule="auto"/>
              <w:ind w:left="6480"/>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ab/>
              <w:t>Environmental Protection Division</w:t>
            </w:r>
          </w:p>
          <w:p w:rsidR="002F6E88" w:rsidRPr="002F6E88" w:rsidRDefault="002F6E88" w:rsidP="002F6E88">
            <w:pPr>
              <w:tabs>
                <w:tab w:val="left" w:pos="-1440"/>
              </w:tabs>
              <w:spacing w:after="0" w:line="240" w:lineRule="auto"/>
              <w:ind w:left="5760" w:hanging="1440"/>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Month XX, 201X</w:t>
            </w:r>
            <w:r w:rsidRPr="002F6E88">
              <w:rPr>
                <w:rFonts w:ascii="Times New Roman" w:eastAsia="Times New Roman" w:hAnsi="Times New Roman" w:cs="Times New Roman"/>
                <w:sz w:val="20"/>
                <w:szCs w:val="20"/>
              </w:rPr>
              <w:tab/>
              <w:t xml:space="preserve">                             Department of Natural Resources</w:t>
            </w:r>
          </w:p>
          <w:p w:rsidR="002F6E88" w:rsidRPr="002F6E88" w:rsidRDefault="002F6E88" w:rsidP="002F6E88">
            <w:pPr>
              <w:spacing w:after="58" w:line="240" w:lineRule="auto"/>
              <w:rPr>
                <w:rFonts w:ascii="Times New Roman" w:eastAsia="Times New Roman" w:hAnsi="Times New Roman" w:cs="Times New Roman"/>
                <w:sz w:val="20"/>
                <w:szCs w:val="20"/>
              </w:rPr>
            </w:pPr>
          </w:p>
        </w:tc>
      </w:tr>
    </w:tbl>
    <w:p w:rsidR="002F6E88" w:rsidRPr="002F6E88" w:rsidRDefault="002F6E88" w:rsidP="002F6E88">
      <w:pPr>
        <w:spacing w:after="0" w:line="240" w:lineRule="auto"/>
        <w:jc w:val="both"/>
        <w:rPr>
          <w:rFonts w:ascii="Times New Roman" w:eastAsia="Times New Roman" w:hAnsi="Times New Roman" w:cs="Times New Roman"/>
          <w:sz w:val="20"/>
          <w:szCs w:val="20"/>
        </w:rPr>
      </w:pPr>
    </w:p>
    <w:p w:rsidR="002F6E88" w:rsidRPr="002F6E88" w:rsidRDefault="002F6E88" w:rsidP="002F6E88">
      <w:pPr>
        <w:spacing w:after="0" w:line="240" w:lineRule="auto"/>
        <w:jc w:val="both"/>
        <w:rPr>
          <w:rFonts w:ascii="Times New Roman" w:eastAsia="Times New Roman" w:hAnsi="Times New Roman" w:cs="Times New Roman"/>
          <w:sz w:val="20"/>
          <w:szCs w:val="20"/>
        </w:rPr>
      </w:pPr>
    </w:p>
    <w:p w:rsidR="002F6E88" w:rsidRPr="002F6E88" w:rsidRDefault="002F6E88" w:rsidP="002F6E88">
      <w:pPr>
        <w:spacing w:after="0" w:line="240" w:lineRule="auto"/>
        <w:rPr>
          <w:rFonts w:ascii="Times New Roman" w:eastAsia="Times New Roman" w:hAnsi="Times New Roman" w:cs="Times New Roman"/>
          <w:sz w:val="20"/>
          <w:szCs w:val="20"/>
        </w:rPr>
      </w:pPr>
    </w:p>
    <w:p w:rsidR="002F6E88" w:rsidRPr="002F6E88" w:rsidRDefault="002F6E88" w:rsidP="002F6E88">
      <w:pPr>
        <w:spacing w:after="0" w:line="240" w:lineRule="auto"/>
        <w:rPr>
          <w:rFonts w:ascii="Times New Roman" w:eastAsia="Times New Roman" w:hAnsi="Times New Roman" w:cs="Times New Roman"/>
          <w:sz w:val="20"/>
          <w:szCs w:val="20"/>
        </w:rPr>
      </w:pPr>
    </w:p>
    <w:p w:rsidR="002F6E88" w:rsidRPr="002F6E88" w:rsidRDefault="002F6E88" w:rsidP="002F6E88">
      <w:pPr>
        <w:spacing w:after="0" w:line="240" w:lineRule="auto"/>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STATE OF GEORGIA</w:t>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t>PAGE 2 OF 2</w:t>
      </w:r>
    </w:p>
    <w:p w:rsidR="002F6E88" w:rsidRPr="002F6E88" w:rsidRDefault="002F6E88" w:rsidP="002F6E88">
      <w:pPr>
        <w:spacing w:after="0" w:line="240" w:lineRule="auto"/>
        <w:rPr>
          <w:rFonts w:ascii="Times New Roman" w:eastAsia="Times New Roman" w:hAnsi="Times New Roman" w:cs="Times New Roman"/>
          <w:sz w:val="20"/>
          <w:szCs w:val="20"/>
        </w:rPr>
      </w:pPr>
      <w:proofErr w:type="gramStart"/>
      <w:r w:rsidRPr="002F6E88">
        <w:rPr>
          <w:rFonts w:ascii="Times New Roman" w:eastAsia="Times New Roman" w:hAnsi="Times New Roman" w:cs="Times New Roman"/>
          <w:sz w:val="20"/>
          <w:szCs w:val="20"/>
        </w:rPr>
        <w:t>DEPARTMENT OF NATURAL RESOURCES</w:t>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t>PERMIT NO.</w:t>
      </w:r>
      <w:proofErr w:type="gramEnd"/>
      <w:r w:rsidRPr="002F6E88">
        <w:rPr>
          <w:rFonts w:ascii="Times New Roman" w:eastAsia="Times New Roman" w:hAnsi="Times New Roman" w:cs="Times New Roman"/>
          <w:sz w:val="20"/>
          <w:szCs w:val="20"/>
        </w:rPr>
        <w:tab/>
      </w:r>
      <w:r>
        <w:rPr>
          <w:rFonts w:ascii="Times New Roman" w:eastAsia="Times New Roman" w:hAnsi="Times New Roman" w:cs="Times New Roman"/>
        </w:rPr>
        <w:t>New</w:t>
      </w:r>
    </w:p>
    <w:p w:rsidR="002F6E88" w:rsidRPr="002F6E88" w:rsidRDefault="002F6E88" w:rsidP="002F6E88">
      <w:pPr>
        <w:spacing w:after="0" w:line="240" w:lineRule="auto"/>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ENVIRONMENTAL PROTECTION DIVISION</w:t>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t>DATE:</w:t>
      </w: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sz w:val="20"/>
          <w:szCs w:val="20"/>
        </w:rPr>
        <w:tab/>
        <w:t>Month XX, 201X</w:t>
      </w:r>
    </w:p>
    <w:p w:rsidR="002F6E88" w:rsidRPr="002F6E88" w:rsidRDefault="002F6E88" w:rsidP="002F6E88">
      <w:pPr>
        <w:spacing w:after="0" w:line="240" w:lineRule="auto"/>
        <w:jc w:val="both"/>
        <w:rPr>
          <w:rFonts w:ascii="Times New Roman" w:eastAsia="Times New Roman" w:hAnsi="Times New Roman" w:cs="Times New Roman"/>
          <w:sz w:val="20"/>
          <w:szCs w:val="20"/>
        </w:rPr>
      </w:pPr>
    </w:p>
    <w:p w:rsidR="002F6E88" w:rsidRPr="002F6E88" w:rsidRDefault="002F6E88" w:rsidP="002F6E88">
      <w:pPr>
        <w:spacing w:after="0" w:line="240" w:lineRule="auto"/>
        <w:jc w:val="both"/>
        <w:rPr>
          <w:rFonts w:ascii="Times New Roman" w:eastAsia="Times New Roman" w:hAnsi="Times New Roman" w:cs="Times New Roman"/>
          <w:sz w:val="20"/>
          <w:szCs w:val="20"/>
        </w:rPr>
      </w:pPr>
    </w:p>
    <w:p w:rsidR="002F6E88" w:rsidRPr="002F6E88" w:rsidRDefault="002F6E88" w:rsidP="002F6E88">
      <w:pPr>
        <w:tabs>
          <w:tab w:val="center" w:pos="5400"/>
        </w:tabs>
        <w:spacing w:after="0" w:line="240" w:lineRule="auto"/>
        <w:jc w:val="both"/>
        <w:rPr>
          <w:rFonts w:ascii="Times New Roman" w:eastAsia="Times New Roman" w:hAnsi="Times New Roman" w:cs="Times New Roman"/>
          <w:sz w:val="24"/>
          <w:szCs w:val="24"/>
        </w:rPr>
      </w:pP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b/>
          <w:sz w:val="24"/>
          <w:szCs w:val="24"/>
        </w:rPr>
        <w:t>SPECIAL CONDITIONS</w:t>
      </w:r>
    </w:p>
    <w:p w:rsidR="002F6E88" w:rsidRPr="002F6E88" w:rsidRDefault="002F6E88" w:rsidP="002F6E88">
      <w:pPr>
        <w:spacing w:after="0" w:line="240" w:lineRule="auto"/>
        <w:jc w:val="both"/>
        <w:rPr>
          <w:rFonts w:ascii="Times New Roman" w:eastAsia="Times New Roman" w:hAnsi="Times New Roman" w:cs="Times New Roman"/>
          <w:sz w:val="20"/>
          <w:szCs w:val="20"/>
        </w:rPr>
      </w:pPr>
    </w:p>
    <w:p w:rsidR="002F6E88" w:rsidRPr="002F6E88" w:rsidRDefault="002F6E88" w:rsidP="002F6E88">
      <w:pPr>
        <w:widowControl w:val="0"/>
        <w:numPr>
          <w:ilvl w:val="0"/>
          <w:numId w:val="4"/>
        </w:numPr>
        <w:snapToGrid w:val="0"/>
        <w:spacing w:after="0" w:line="240" w:lineRule="auto"/>
        <w:jc w:val="both"/>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 xml:space="preserve">This groundwater withdrawal permit and any future modifications or re-issuances of such, is conditional upon implementation of the Water Conservation Plan. This permit holder must demonstrate an effort to increase water use efficiency. </w:t>
      </w:r>
    </w:p>
    <w:p w:rsidR="002F6E88" w:rsidRPr="002F6E88" w:rsidRDefault="002F6E88" w:rsidP="002F6E88">
      <w:pPr>
        <w:snapToGrid w:val="0"/>
        <w:spacing w:after="0" w:line="240" w:lineRule="auto"/>
        <w:jc w:val="both"/>
        <w:rPr>
          <w:rFonts w:ascii="Times New Roman" w:eastAsia="Times New Roman" w:hAnsi="Times New Roman" w:cs="Times New Roman"/>
          <w:sz w:val="20"/>
          <w:szCs w:val="20"/>
        </w:rPr>
      </w:pPr>
    </w:p>
    <w:p w:rsidR="002F6E88" w:rsidRPr="002F6E88" w:rsidRDefault="002F6E88" w:rsidP="002F6E88">
      <w:pPr>
        <w:widowControl w:val="0"/>
        <w:numPr>
          <w:ilvl w:val="0"/>
          <w:numId w:val="4"/>
        </w:numPr>
        <w:snapToGrid w:val="0"/>
        <w:spacing w:after="0" w:line="240" w:lineRule="auto"/>
        <w:jc w:val="both"/>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The permit holder must abide by applicable water conservation requirements.</w:t>
      </w:r>
    </w:p>
    <w:p w:rsidR="002F6E88" w:rsidRPr="002F6E88" w:rsidRDefault="002F6E88" w:rsidP="002F6E88">
      <w:pPr>
        <w:snapToGrid w:val="0"/>
        <w:spacing w:after="0" w:line="240" w:lineRule="auto"/>
        <w:jc w:val="both"/>
        <w:rPr>
          <w:rFonts w:ascii="Times New Roman" w:eastAsia="Times New Roman" w:hAnsi="Times New Roman" w:cs="Times New Roman"/>
          <w:sz w:val="20"/>
          <w:szCs w:val="20"/>
        </w:rPr>
      </w:pPr>
    </w:p>
    <w:p w:rsidR="002F6E88" w:rsidRPr="002F6E88" w:rsidRDefault="002F6E88" w:rsidP="002F6E88">
      <w:pPr>
        <w:widowControl w:val="0"/>
        <w:numPr>
          <w:ilvl w:val="0"/>
          <w:numId w:val="4"/>
        </w:numPr>
        <w:snapToGrid w:val="0"/>
        <w:spacing w:after="0" w:line="240" w:lineRule="auto"/>
        <w:jc w:val="both"/>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The permit holder must abide by applicable drought response requirements.</w:t>
      </w:r>
    </w:p>
    <w:p w:rsidR="002F6E88" w:rsidRPr="002F6E88" w:rsidRDefault="002F6E88" w:rsidP="002F6E88">
      <w:pPr>
        <w:snapToGrid w:val="0"/>
        <w:spacing w:after="0" w:line="240" w:lineRule="auto"/>
        <w:jc w:val="both"/>
        <w:rPr>
          <w:rFonts w:ascii="Times New Roman" w:eastAsia="Times New Roman" w:hAnsi="Times New Roman" w:cs="Times New Roman"/>
          <w:sz w:val="20"/>
          <w:szCs w:val="20"/>
        </w:rPr>
      </w:pPr>
    </w:p>
    <w:p w:rsidR="002F6E88" w:rsidRDefault="002F6E88" w:rsidP="002F6E88">
      <w:pPr>
        <w:widowControl w:val="0"/>
        <w:numPr>
          <w:ilvl w:val="0"/>
          <w:numId w:val="4"/>
        </w:numPr>
        <w:snapToGrid w:val="0"/>
        <w:spacing w:after="0" w:line="240" w:lineRule="auto"/>
        <w:jc w:val="both"/>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In accordance with the Groundwater Use Rules, 391-3-2-.08(2), a permit holder will analyze a raw groundwater sample for specific conductance on an annual basis.  Analysis for specific conductance must be conducted in accordance with 40 Code of Federal Regulations, Part 141.89.  A raw groundwater sample must be collected for every five permitted wells (i.e., if you have between one and five permitted wells, collect one raw groundwater sample for analysis; if you have between six and ten permitted wells, collect a raw groundwater sample from two of the permitted wells, etc.).  The groundwater samples will be collected from the highest yielding wells.  The results must be submitted to EPD on corporate letterhead and will include the date sampled, well number, temperature of water sample at time of testing, the specific conductance result, and the units of measurement.</w:t>
      </w:r>
    </w:p>
    <w:p w:rsidR="009162FB" w:rsidRDefault="009162FB" w:rsidP="009162FB">
      <w:pPr>
        <w:widowControl w:val="0"/>
        <w:snapToGrid w:val="0"/>
        <w:spacing w:after="0" w:line="240" w:lineRule="auto"/>
        <w:ind w:left="1080"/>
        <w:jc w:val="both"/>
        <w:rPr>
          <w:rFonts w:ascii="Times New Roman" w:eastAsia="Times New Roman" w:hAnsi="Times New Roman" w:cs="Times New Roman"/>
          <w:sz w:val="20"/>
          <w:szCs w:val="20"/>
        </w:rPr>
      </w:pPr>
    </w:p>
    <w:p w:rsidR="002F6E88" w:rsidRDefault="009162FB" w:rsidP="002F6E88">
      <w:pPr>
        <w:pStyle w:val="ListParagraph"/>
        <w:numPr>
          <w:ilvl w:val="0"/>
          <w:numId w:val="4"/>
        </w:numPr>
        <w:snapToGrid w:val="0"/>
        <w:spacing w:after="0" w:line="240" w:lineRule="auto"/>
        <w:jc w:val="both"/>
        <w:rPr>
          <w:rFonts w:ascii="Times New Roman" w:eastAsia="Times New Roman" w:hAnsi="Times New Roman" w:cs="Times New Roman"/>
          <w:sz w:val="20"/>
          <w:szCs w:val="20"/>
        </w:rPr>
      </w:pPr>
      <w:r w:rsidRPr="009162FB">
        <w:rPr>
          <w:rFonts w:ascii="Times New Roman" w:eastAsia="Times New Roman" w:hAnsi="Times New Roman" w:cs="Times New Roman"/>
          <w:sz w:val="20"/>
          <w:szCs w:val="20"/>
        </w:rPr>
        <w:t>Due to the high percentage of the Non-Revenue Water reported, EPD requests the permit holder to submit a detailed annual progress report on efforts made to reduce the Non-Revenue Water within the system. The annual progress report should provide a description of implemented measures and how the implemented measures reduced the system’s Non-Revenue Water percentage.</w:t>
      </w:r>
    </w:p>
    <w:p w:rsidR="009162FB" w:rsidRPr="009162FB" w:rsidRDefault="009162FB" w:rsidP="009162FB">
      <w:pPr>
        <w:pStyle w:val="ListParagraph"/>
        <w:snapToGrid w:val="0"/>
        <w:spacing w:after="0" w:line="240" w:lineRule="auto"/>
        <w:ind w:left="1080"/>
        <w:jc w:val="both"/>
        <w:rPr>
          <w:rFonts w:ascii="Times New Roman" w:eastAsia="Times New Roman" w:hAnsi="Times New Roman" w:cs="Times New Roman"/>
          <w:sz w:val="20"/>
          <w:szCs w:val="20"/>
        </w:rPr>
      </w:pPr>
    </w:p>
    <w:p w:rsidR="002F6E88" w:rsidRPr="002F6E88" w:rsidRDefault="002F6E88" w:rsidP="002F6E88">
      <w:pPr>
        <w:widowControl w:val="0"/>
        <w:numPr>
          <w:ilvl w:val="0"/>
          <w:numId w:val="4"/>
        </w:numPr>
        <w:snapToGrid w:val="0"/>
        <w:spacing w:after="0" w:line="240" w:lineRule="auto"/>
        <w:jc w:val="both"/>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This permit supersedes any and all previous permits of the same permit number.</w:t>
      </w:r>
    </w:p>
    <w:p w:rsidR="002F6E88" w:rsidRPr="002F6E88" w:rsidRDefault="002F6E88" w:rsidP="002F6E88">
      <w:pPr>
        <w:snapToGrid w:val="0"/>
        <w:spacing w:after="0" w:line="240" w:lineRule="auto"/>
        <w:jc w:val="both"/>
        <w:rPr>
          <w:rFonts w:ascii="Times New Roman" w:eastAsia="Times New Roman" w:hAnsi="Times New Roman" w:cs="Times New Roman"/>
          <w:sz w:val="20"/>
          <w:szCs w:val="20"/>
        </w:rPr>
      </w:pPr>
    </w:p>
    <w:p w:rsidR="002F6E88" w:rsidRPr="002F6E88" w:rsidRDefault="002F6E88" w:rsidP="002F6E88">
      <w:pPr>
        <w:spacing w:after="0" w:line="240" w:lineRule="auto"/>
        <w:ind w:left="720" w:right="720"/>
        <w:jc w:val="both"/>
        <w:rPr>
          <w:rFonts w:ascii="Times New Roman" w:eastAsia="Times New Roman" w:hAnsi="Times New Roman" w:cs="Times New Roman"/>
          <w:sz w:val="20"/>
          <w:szCs w:val="20"/>
        </w:rPr>
      </w:pPr>
    </w:p>
    <w:p w:rsidR="002F6E88" w:rsidRPr="002F6E88" w:rsidRDefault="002F6E88" w:rsidP="002F6E88">
      <w:pPr>
        <w:spacing w:after="0" w:line="240" w:lineRule="auto"/>
        <w:ind w:left="720" w:right="720"/>
        <w:jc w:val="both"/>
        <w:rPr>
          <w:rFonts w:ascii="Times New Roman" w:eastAsia="Times New Roman" w:hAnsi="Times New Roman" w:cs="Times New Roman"/>
          <w:sz w:val="20"/>
          <w:szCs w:val="20"/>
        </w:rPr>
      </w:pPr>
    </w:p>
    <w:p w:rsidR="002F6E88" w:rsidRPr="002F6E88" w:rsidRDefault="002F6E88" w:rsidP="002F6E88">
      <w:pPr>
        <w:tabs>
          <w:tab w:val="center" w:pos="5400"/>
        </w:tabs>
        <w:spacing w:after="0" w:line="240" w:lineRule="auto"/>
        <w:ind w:left="720" w:right="720"/>
        <w:jc w:val="both"/>
        <w:rPr>
          <w:rFonts w:ascii="Times New Roman" w:eastAsia="Times New Roman" w:hAnsi="Times New Roman" w:cs="Times New Roman"/>
          <w:sz w:val="24"/>
          <w:szCs w:val="24"/>
        </w:rPr>
      </w:pPr>
      <w:r w:rsidRPr="002F6E88">
        <w:rPr>
          <w:rFonts w:ascii="Times New Roman" w:eastAsia="Times New Roman" w:hAnsi="Times New Roman" w:cs="Times New Roman"/>
          <w:sz w:val="20"/>
          <w:szCs w:val="20"/>
        </w:rPr>
        <w:tab/>
      </w:r>
      <w:r w:rsidRPr="002F6E88">
        <w:rPr>
          <w:rFonts w:ascii="Times New Roman" w:eastAsia="Times New Roman" w:hAnsi="Times New Roman" w:cs="Times New Roman"/>
          <w:b/>
          <w:sz w:val="24"/>
          <w:szCs w:val="24"/>
        </w:rPr>
        <w:t>PERMIT MODIFICATION</w:t>
      </w:r>
    </w:p>
    <w:p w:rsidR="002F6E88" w:rsidRPr="002F6E88" w:rsidRDefault="002F6E88" w:rsidP="002F6E88">
      <w:pPr>
        <w:spacing w:after="0" w:line="240" w:lineRule="auto"/>
        <w:ind w:left="720" w:right="720"/>
        <w:jc w:val="both"/>
        <w:rPr>
          <w:rFonts w:ascii="Times New Roman" w:eastAsia="Times New Roman" w:hAnsi="Times New Roman" w:cs="Times New Roman"/>
          <w:sz w:val="24"/>
          <w:szCs w:val="24"/>
        </w:rPr>
      </w:pPr>
    </w:p>
    <w:p w:rsidR="002F6E88" w:rsidRPr="002F6E88" w:rsidRDefault="002F6E88" w:rsidP="002F6E88">
      <w:pPr>
        <w:tabs>
          <w:tab w:val="left" w:pos="1"/>
        </w:tabs>
        <w:autoSpaceDE w:val="0"/>
        <w:autoSpaceDN w:val="0"/>
        <w:adjustRightInd w:val="0"/>
        <w:spacing w:after="0" w:line="240" w:lineRule="auto"/>
        <w:ind w:left="1"/>
        <w:rPr>
          <w:rFonts w:ascii="Times New Roman" w:eastAsia="Times New Roman" w:hAnsi="Times New Roman" w:cs="Times New Roman"/>
          <w:sz w:val="20"/>
          <w:szCs w:val="20"/>
        </w:rPr>
      </w:pPr>
      <w:r w:rsidRPr="002F6E88">
        <w:rPr>
          <w:rFonts w:ascii="Times New Roman" w:eastAsia="Times New Roman" w:hAnsi="Times New Roman" w:cs="Times New Roman"/>
          <w:sz w:val="20"/>
          <w:szCs w:val="20"/>
        </w:rPr>
        <w:t>The permit holder may seek modification of any of the terms of an unexpired permit upon written request to the Director. The Georgia EPD has the authority to modify any groundwater withdrawal permit at any time.</w:t>
      </w:r>
    </w:p>
    <w:p w:rsidR="002F6E88" w:rsidRPr="002F6E88" w:rsidRDefault="002F6E88" w:rsidP="002F6E88">
      <w:pPr>
        <w:tabs>
          <w:tab w:val="left" w:pos="1"/>
        </w:tabs>
        <w:autoSpaceDE w:val="0"/>
        <w:autoSpaceDN w:val="0"/>
        <w:adjustRightInd w:val="0"/>
        <w:spacing w:after="0" w:line="240" w:lineRule="auto"/>
        <w:ind w:left="1"/>
        <w:rPr>
          <w:rFonts w:ascii="Times New Roman" w:eastAsia="Times New Roman" w:hAnsi="Times New Roman" w:cs="Times New Roman"/>
          <w:sz w:val="24"/>
          <w:szCs w:val="24"/>
        </w:rPr>
      </w:pPr>
    </w:p>
    <w:p w:rsidR="00B82530" w:rsidRDefault="00B82530"/>
    <w:sectPr w:rsidR="00B82530" w:rsidSect="002F6E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717F2A"/>
    <w:multiLevelType w:val="hybridMultilevel"/>
    <w:tmpl w:val="820A5F0E"/>
    <w:lvl w:ilvl="0" w:tplc="701EB40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2943FD3"/>
    <w:multiLevelType w:val="hybridMultilevel"/>
    <w:tmpl w:val="A4B065FC"/>
    <w:lvl w:ilvl="0" w:tplc="859E9FE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5804CF8"/>
    <w:multiLevelType w:val="hybridMultilevel"/>
    <w:tmpl w:val="353A6F3C"/>
    <w:lvl w:ilvl="0" w:tplc="5074E9A2">
      <w:start w:val="1"/>
      <w:numFmt w:val="bullet"/>
      <w:lvlRestart w:val="0"/>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8595E8C"/>
    <w:multiLevelType w:val="hybridMultilevel"/>
    <w:tmpl w:val="353A6F3C"/>
    <w:lvl w:ilvl="0" w:tplc="BE2AF8A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88"/>
    <w:rsid w:val="002F6E88"/>
    <w:rsid w:val="00396970"/>
    <w:rsid w:val="00811410"/>
    <w:rsid w:val="009162FB"/>
    <w:rsid w:val="00AE4C67"/>
    <w:rsid w:val="00B82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2FB"/>
    <w:pPr>
      <w:ind w:left="720"/>
      <w:contextualSpacing/>
    </w:pPr>
  </w:style>
  <w:style w:type="paragraph" w:styleId="BalloonText">
    <w:name w:val="Balloon Text"/>
    <w:basedOn w:val="Normal"/>
    <w:link w:val="BalloonTextChar"/>
    <w:uiPriority w:val="99"/>
    <w:semiHidden/>
    <w:unhideWhenUsed/>
    <w:rsid w:val="00396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9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2FB"/>
    <w:pPr>
      <w:ind w:left="720"/>
      <w:contextualSpacing/>
    </w:pPr>
  </w:style>
  <w:style w:type="paragraph" w:styleId="BalloonText">
    <w:name w:val="Balloon Text"/>
    <w:basedOn w:val="Normal"/>
    <w:link w:val="BalloonTextChar"/>
    <w:uiPriority w:val="99"/>
    <w:semiHidden/>
    <w:unhideWhenUsed/>
    <w:rsid w:val="00396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9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2015-10-19T19:00:00Z</dcterms:created>
  <dcterms:modified xsi:type="dcterms:W3CDTF">2015-10-19T19:00:00Z</dcterms:modified>
</cp:coreProperties>
</file>