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BB2" w:rsidRDefault="00625A46" w:rsidP="00EB63AC">
      <w:pPr>
        <w:pStyle w:val="Heading1"/>
        <w:spacing w:after="200"/>
      </w:pPr>
      <w:r>
        <w:t xml:space="preserve">Exhibit </w:t>
      </w:r>
      <w:r w:rsidR="00EB63AC">
        <w:t>4 – Senior I/M Program Details</w:t>
      </w:r>
    </w:p>
    <w:p w:rsidR="001A0174" w:rsidRPr="001A0174" w:rsidRDefault="001A0174" w:rsidP="001A0174">
      <w:pPr>
        <w:pStyle w:val="Heading2"/>
        <w:jc w:val="both"/>
        <w:rPr>
          <w:rFonts w:asciiTheme="minorHAnsi" w:hAnsiTheme="minorHAnsi"/>
          <w:b w:val="0"/>
          <w:color w:val="auto"/>
          <w:sz w:val="22"/>
          <w:szCs w:val="22"/>
        </w:rPr>
      </w:pPr>
      <w:r>
        <w:rPr>
          <w:rFonts w:asciiTheme="minorHAnsi" w:hAnsiTheme="minorHAnsi"/>
          <w:b w:val="0"/>
          <w:color w:val="auto"/>
          <w:sz w:val="22"/>
          <w:szCs w:val="22"/>
        </w:rPr>
        <w:t xml:space="preserve">Mobile6-based I/M emissions were retained for this off-model exercise because they were considered to still be conservatively high.  In the future, GA EPD and ARC will evaluate the development of MOVES-based senior I/M </w:t>
      </w:r>
      <w:proofErr w:type="gramStart"/>
      <w:r>
        <w:rPr>
          <w:rFonts w:asciiTheme="minorHAnsi" w:hAnsiTheme="minorHAnsi"/>
          <w:b w:val="0"/>
          <w:color w:val="auto"/>
          <w:sz w:val="22"/>
          <w:szCs w:val="22"/>
        </w:rPr>
        <w:t>credits</w:t>
      </w:r>
      <w:proofErr w:type="gramEnd"/>
      <w:r>
        <w:rPr>
          <w:rFonts w:asciiTheme="minorHAnsi" w:hAnsiTheme="minorHAnsi"/>
          <w:b w:val="0"/>
          <w:color w:val="auto"/>
          <w:sz w:val="22"/>
          <w:szCs w:val="22"/>
        </w:rPr>
        <w:t>.</w:t>
      </w:r>
    </w:p>
    <w:p w:rsidR="00625A46" w:rsidRDefault="00625A46" w:rsidP="00EB63AC">
      <w:pPr>
        <w:pStyle w:val="Heading2"/>
      </w:pPr>
      <w:r>
        <w:t>Effect of Senior Exemption on 2002 Highway Mobile Source Emissions</w:t>
      </w:r>
    </w:p>
    <w:p w:rsidR="00625A46" w:rsidRPr="00625A46" w:rsidRDefault="00625A46" w:rsidP="00C804C6">
      <w:pPr>
        <w:spacing w:line="23" w:lineRule="atLeast"/>
        <w:jc w:val="both"/>
      </w:pPr>
      <w:r w:rsidRPr="00625A46">
        <w:t xml:space="preserve">During their 1996 session the Georgia General Assembly amended the Georgia Motor Vehicle Emission Inspection and Maintenance Act (O.C.G.A. Section 12-9, </w:t>
      </w:r>
      <w:r w:rsidRPr="00625A46">
        <w:rPr>
          <w:i/>
        </w:rPr>
        <w:t xml:space="preserve">et </w:t>
      </w:r>
      <w:proofErr w:type="spellStart"/>
      <w:r w:rsidRPr="00625A46">
        <w:rPr>
          <w:i/>
        </w:rPr>
        <w:t>seq</w:t>
      </w:r>
      <w:proofErr w:type="spellEnd"/>
      <w:r w:rsidRPr="00625A46">
        <w:t xml:space="preserve">), to exempt from emission testing those otherwise subject vehicles ten years old or older driven fewer than 5,000 miles per year and owned by persons 65 years old or older. </w:t>
      </w:r>
    </w:p>
    <w:p w:rsidR="00625A46" w:rsidRDefault="00625A46" w:rsidP="00C804C6">
      <w:pPr>
        <w:spacing w:line="23" w:lineRule="atLeast"/>
        <w:jc w:val="both"/>
      </w:pPr>
      <w:r w:rsidRPr="00625A46">
        <w:t>The actual numbers of vehicles that received senior citizen exemptions from Georgia's inspection and maintenance (I/M) program waiver centers in 2002 are shown in the table below (source: Appendix I, Detailed List of Waivers Processed, from 2002 Annual Operations Report for Georgia's Enhanced Inspection and Maintenance Program, July 30, 2003):</w:t>
      </w:r>
    </w:p>
    <w:p w:rsidR="00EB63AC" w:rsidRPr="00EB63AC" w:rsidRDefault="00EB63AC" w:rsidP="00EB63AC">
      <w:pPr>
        <w:spacing w:line="23" w:lineRule="atLeast"/>
        <w:jc w:val="center"/>
        <w:rPr>
          <w:b/>
          <w:sz w:val="24"/>
          <w:szCs w:val="24"/>
        </w:rPr>
      </w:pPr>
      <w:r w:rsidRPr="00EB63AC">
        <w:rPr>
          <w:b/>
          <w:sz w:val="24"/>
          <w:szCs w:val="24"/>
        </w:rPr>
        <w:t>Table 1 – Vehicles with Waivers by Year</w:t>
      </w:r>
    </w:p>
    <w:tbl>
      <w:tblPr>
        <w:tblStyle w:val="MediumShading2-Accent1"/>
        <w:tblW w:w="0" w:type="auto"/>
        <w:jc w:val="center"/>
        <w:tblLook w:val="0420"/>
      </w:tblPr>
      <w:tblGrid>
        <w:gridCol w:w="1241"/>
        <w:gridCol w:w="974"/>
      </w:tblGrid>
      <w:tr w:rsidR="00625A46" w:rsidTr="00EB63AC">
        <w:trPr>
          <w:cnfStyle w:val="100000000000"/>
          <w:jc w:val="center"/>
        </w:trPr>
        <w:tc>
          <w:tcPr>
            <w:tcW w:w="0" w:type="auto"/>
            <w:vAlign w:val="center"/>
          </w:tcPr>
          <w:p w:rsidR="00625A46" w:rsidRDefault="00625A46" w:rsidP="00EB63AC">
            <w:pPr>
              <w:spacing w:line="23" w:lineRule="atLeast"/>
              <w:jc w:val="center"/>
            </w:pPr>
            <w:r>
              <w:t>Age (years)</w:t>
            </w:r>
          </w:p>
        </w:tc>
        <w:tc>
          <w:tcPr>
            <w:tcW w:w="0" w:type="auto"/>
            <w:vAlign w:val="center"/>
          </w:tcPr>
          <w:p w:rsidR="00625A46" w:rsidRDefault="00625A46" w:rsidP="00EB63AC">
            <w:pPr>
              <w:spacing w:line="23" w:lineRule="atLeast"/>
              <w:jc w:val="center"/>
            </w:pPr>
            <w:r>
              <w:t>Vehicles</w:t>
            </w:r>
          </w:p>
        </w:tc>
      </w:tr>
      <w:tr w:rsidR="00625A46" w:rsidTr="00EB63AC">
        <w:trPr>
          <w:cnfStyle w:val="000000100000"/>
          <w:jc w:val="center"/>
        </w:trPr>
        <w:tc>
          <w:tcPr>
            <w:tcW w:w="0" w:type="auto"/>
            <w:vAlign w:val="center"/>
          </w:tcPr>
          <w:p w:rsidR="00625A46" w:rsidRDefault="00625A46" w:rsidP="00EB63AC">
            <w:pPr>
              <w:spacing w:line="23" w:lineRule="atLeast"/>
              <w:jc w:val="center"/>
            </w:pPr>
            <w:r>
              <w:t>10</w:t>
            </w:r>
          </w:p>
        </w:tc>
        <w:tc>
          <w:tcPr>
            <w:tcW w:w="0" w:type="auto"/>
            <w:vAlign w:val="center"/>
          </w:tcPr>
          <w:p w:rsidR="00625A46" w:rsidRDefault="00625A46" w:rsidP="00EB63AC">
            <w:pPr>
              <w:spacing w:line="23" w:lineRule="atLeast"/>
              <w:jc w:val="center"/>
            </w:pPr>
            <w:r>
              <w:t>1,629</w:t>
            </w:r>
          </w:p>
        </w:tc>
      </w:tr>
      <w:tr w:rsidR="00625A46" w:rsidTr="00EB63AC">
        <w:trPr>
          <w:jc w:val="center"/>
        </w:trPr>
        <w:tc>
          <w:tcPr>
            <w:tcW w:w="0" w:type="auto"/>
            <w:vAlign w:val="center"/>
          </w:tcPr>
          <w:p w:rsidR="00625A46" w:rsidRDefault="00625A46" w:rsidP="00EB63AC">
            <w:pPr>
              <w:spacing w:line="23" w:lineRule="atLeast"/>
              <w:jc w:val="center"/>
            </w:pPr>
            <w:r>
              <w:t>11</w:t>
            </w:r>
          </w:p>
        </w:tc>
        <w:tc>
          <w:tcPr>
            <w:tcW w:w="0" w:type="auto"/>
            <w:vAlign w:val="center"/>
          </w:tcPr>
          <w:p w:rsidR="00625A46" w:rsidRDefault="00625A46" w:rsidP="00EB63AC">
            <w:pPr>
              <w:spacing w:line="23" w:lineRule="atLeast"/>
              <w:jc w:val="center"/>
            </w:pPr>
            <w:r>
              <w:t>2,120</w:t>
            </w:r>
          </w:p>
        </w:tc>
      </w:tr>
      <w:tr w:rsidR="00625A46" w:rsidTr="00EB63AC">
        <w:trPr>
          <w:cnfStyle w:val="000000100000"/>
          <w:jc w:val="center"/>
        </w:trPr>
        <w:tc>
          <w:tcPr>
            <w:tcW w:w="0" w:type="auto"/>
            <w:vAlign w:val="center"/>
          </w:tcPr>
          <w:p w:rsidR="00625A46" w:rsidRDefault="00625A46" w:rsidP="00EB63AC">
            <w:pPr>
              <w:spacing w:line="23" w:lineRule="atLeast"/>
              <w:jc w:val="center"/>
            </w:pPr>
            <w:r>
              <w:t>12</w:t>
            </w:r>
          </w:p>
        </w:tc>
        <w:tc>
          <w:tcPr>
            <w:tcW w:w="0" w:type="auto"/>
            <w:vAlign w:val="center"/>
          </w:tcPr>
          <w:p w:rsidR="00625A46" w:rsidRDefault="00625A46" w:rsidP="00EB63AC">
            <w:pPr>
              <w:spacing w:line="23" w:lineRule="atLeast"/>
              <w:jc w:val="center"/>
            </w:pPr>
            <w:r>
              <w:t>2,239</w:t>
            </w:r>
          </w:p>
        </w:tc>
      </w:tr>
      <w:tr w:rsidR="00625A46" w:rsidTr="00EB63AC">
        <w:trPr>
          <w:jc w:val="center"/>
        </w:trPr>
        <w:tc>
          <w:tcPr>
            <w:tcW w:w="0" w:type="auto"/>
            <w:vAlign w:val="center"/>
          </w:tcPr>
          <w:p w:rsidR="00625A46" w:rsidRDefault="00625A46" w:rsidP="00EB63AC">
            <w:pPr>
              <w:spacing w:line="23" w:lineRule="atLeast"/>
              <w:jc w:val="center"/>
            </w:pPr>
            <w:r>
              <w:t>13</w:t>
            </w:r>
          </w:p>
        </w:tc>
        <w:tc>
          <w:tcPr>
            <w:tcW w:w="0" w:type="auto"/>
            <w:vAlign w:val="center"/>
          </w:tcPr>
          <w:p w:rsidR="00625A46" w:rsidRDefault="00625A46" w:rsidP="00EB63AC">
            <w:pPr>
              <w:spacing w:line="23" w:lineRule="atLeast"/>
              <w:jc w:val="center"/>
            </w:pPr>
            <w:r>
              <w:t>2,630</w:t>
            </w:r>
          </w:p>
        </w:tc>
      </w:tr>
      <w:tr w:rsidR="00625A46" w:rsidTr="00EB63AC">
        <w:trPr>
          <w:cnfStyle w:val="000000100000"/>
          <w:jc w:val="center"/>
        </w:trPr>
        <w:tc>
          <w:tcPr>
            <w:tcW w:w="0" w:type="auto"/>
            <w:vAlign w:val="center"/>
          </w:tcPr>
          <w:p w:rsidR="00625A46" w:rsidRDefault="00625A46" w:rsidP="00EB63AC">
            <w:pPr>
              <w:spacing w:line="23" w:lineRule="atLeast"/>
              <w:jc w:val="center"/>
            </w:pPr>
            <w:r>
              <w:t>14</w:t>
            </w:r>
          </w:p>
        </w:tc>
        <w:tc>
          <w:tcPr>
            <w:tcW w:w="0" w:type="auto"/>
            <w:vAlign w:val="center"/>
          </w:tcPr>
          <w:p w:rsidR="00625A46" w:rsidRDefault="00625A46" w:rsidP="00EB63AC">
            <w:pPr>
              <w:spacing w:line="23" w:lineRule="atLeast"/>
              <w:jc w:val="center"/>
            </w:pPr>
            <w:r>
              <w:t>2,496</w:t>
            </w:r>
          </w:p>
        </w:tc>
      </w:tr>
      <w:tr w:rsidR="00625A46" w:rsidTr="00EB63AC">
        <w:trPr>
          <w:jc w:val="center"/>
        </w:trPr>
        <w:tc>
          <w:tcPr>
            <w:tcW w:w="0" w:type="auto"/>
            <w:vAlign w:val="center"/>
          </w:tcPr>
          <w:p w:rsidR="00625A46" w:rsidRDefault="00625A46" w:rsidP="00EB63AC">
            <w:pPr>
              <w:spacing w:line="23" w:lineRule="atLeast"/>
              <w:jc w:val="center"/>
            </w:pPr>
            <w:r>
              <w:t>15</w:t>
            </w:r>
          </w:p>
        </w:tc>
        <w:tc>
          <w:tcPr>
            <w:tcW w:w="0" w:type="auto"/>
            <w:vAlign w:val="center"/>
          </w:tcPr>
          <w:p w:rsidR="00625A46" w:rsidRDefault="00625A46" w:rsidP="00EB63AC">
            <w:pPr>
              <w:spacing w:line="23" w:lineRule="atLeast"/>
              <w:jc w:val="center"/>
            </w:pPr>
            <w:r>
              <w:t>2,350</w:t>
            </w:r>
          </w:p>
        </w:tc>
      </w:tr>
      <w:tr w:rsidR="00625A46" w:rsidTr="00EB63AC">
        <w:trPr>
          <w:cnfStyle w:val="000000100000"/>
          <w:jc w:val="center"/>
        </w:trPr>
        <w:tc>
          <w:tcPr>
            <w:tcW w:w="0" w:type="auto"/>
            <w:vAlign w:val="center"/>
          </w:tcPr>
          <w:p w:rsidR="00625A46" w:rsidRDefault="00625A46" w:rsidP="00EB63AC">
            <w:pPr>
              <w:spacing w:line="23" w:lineRule="atLeast"/>
              <w:jc w:val="center"/>
            </w:pPr>
            <w:r>
              <w:t>16</w:t>
            </w:r>
          </w:p>
        </w:tc>
        <w:tc>
          <w:tcPr>
            <w:tcW w:w="0" w:type="auto"/>
            <w:vAlign w:val="center"/>
          </w:tcPr>
          <w:p w:rsidR="00625A46" w:rsidRDefault="00625A46" w:rsidP="00EB63AC">
            <w:pPr>
              <w:spacing w:line="23" w:lineRule="atLeast"/>
              <w:jc w:val="center"/>
            </w:pPr>
            <w:r>
              <w:t>2,369</w:t>
            </w:r>
          </w:p>
        </w:tc>
      </w:tr>
      <w:tr w:rsidR="00625A46" w:rsidTr="00EB63AC">
        <w:trPr>
          <w:jc w:val="center"/>
        </w:trPr>
        <w:tc>
          <w:tcPr>
            <w:tcW w:w="0" w:type="auto"/>
            <w:vAlign w:val="center"/>
          </w:tcPr>
          <w:p w:rsidR="00625A46" w:rsidRDefault="00625A46" w:rsidP="00EB63AC">
            <w:pPr>
              <w:spacing w:line="23" w:lineRule="atLeast"/>
              <w:jc w:val="center"/>
            </w:pPr>
            <w:r>
              <w:t>17</w:t>
            </w:r>
          </w:p>
        </w:tc>
        <w:tc>
          <w:tcPr>
            <w:tcW w:w="0" w:type="auto"/>
            <w:vAlign w:val="center"/>
          </w:tcPr>
          <w:p w:rsidR="00625A46" w:rsidRDefault="00625A46" w:rsidP="00EB63AC">
            <w:pPr>
              <w:spacing w:line="23" w:lineRule="atLeast"/>
              <w:jc w:val="center"/>
            </w:pPr>
            <w:r>
              <w:t>2,227</w:t>
            </w:r>
          </w:p>
        </w:tc>
      </w:tr>
      <w:tr w:rsidR="00625A46" w:rsidTr="00EB63AC">
        <w:trPr>
          <w:cnfStyle w:val="000000100000"/>
          <w:jc w:val="center"/>
        </w:trPr>
        <w:tc>
          <w:tcPr>
            <w:tcW w:w="0" w:type="auto"/>
            <w:vAlign w:val="center"/>
          </w:tcPr>
          <w:p w:rsidR="00625A46" w:rsidRDefault="00625A46" w:rsidP="00EB63AC">
            <w:pPr>
              <w:spacing w:line="23" w:lineRule="atLeast"/>
              <w:jc w:val="center"/>
            </w:pPr>
            <w:r>
              <w:t>18</w:t>
            </w:r>
          </w:p>
        </w:tc>
        <w:tc>
          <w:tcPr>
            <w:tcW w:w="0" w:type="auto"/>
            <w:vAlign w:val="center"/>
          </w:tcPr>
          <w:p w:rsidR="00625A46" w:rsidRDefault="00625A46" w:rsidP="00EB63AC">
            <w:pPr>
              <w:spacing w:line="23" w:lineRule="atLeast"/>
              <w:jc w:val="center"/>
            </w:pPr>
            <w:r>
              <w:t>1,708</w:t>
            </w:r>
          </w:p>
        </w:tc>
      </w:tr>
      <w:tr w:rsidR="00625A46" w:rsidTr="00EB63AC">
        <w:trPr>
          <w:jc w:val="center"/>
        </w:trPr>
        <w:tc>
          <w:tcPr>
            <w:tcW w:w="0" w:type="auto"/>
            <w:vAlign w:val="center"/>
          </w:tcPr>
          <w:p w:rsidR="00625A46" w:rsidRDefault="00625A46" w:rsidP="00EB63AC">
            <w:pPr>
              <w:spacing w:line="23" w:lineRule="atLeast"/>
              <w:jc w:val="center"/>
            </w:pPr>
            <w:r>
              <w:t>19</w:t>
            </w:r>
          </w:p>
        </w:tc>
        <w:tc>
          <w:tcPr>
            <w:tcW w:w="0" w:type="auto"/>
            <w:vAlign w:val="center"/>
          </w:tcPr>
          <w:p w:rsidR="00625A46" w:rsidRDefault="00625A46" w:rsidP="00EB63AC">
            <w:pPr>
              <w:spacing w:line="23" w:lineRule="atLeast"/>
              <w:jc w:val="center"/>
            </w:pPr>
            <w:r>
              <w:t>1,111</w:t>
            </w:r>
          </w:p>
        </w:tc>
      </w:tr>
      <w:tr w:rsidR="00625A46" w:rsidTr="00EB63AC">
        <w:trPr>
          <w:cnfStyle w:val="000000100000"/>
          <w:jc w:val="center"/>
        </w:trPr>
        <w:tc>
          <w:tcPr>
            <w:tcW w:w="0" w:type="auto"/>
            <w:vAlign w:val="center"/>
          </w:tcPr>
          <w:p w:rsidR="00625A46" w:rsidRDefault="00625A46" w:rsidP="00EB63AC">
            <w:pPr>
              <w:spacing w:line="23" w:lineRule="atLeast"/>
              <w:jc w:val="center"/>
            </w:pPr>
            <w:r>
              <w:t>20</w:t>
            </w:r>
          </w:p>
        </w:tc>
        <w:tc>
          <w:tcPr>
            <w:tcW w:w="0" w:type="auto"/>
            <w:vAlign w:val="center"/>
          </w:tcPr>
          <w:p w:rsidR="00625A46" w:rsidRDefault="00625A46" w:rsidP="00EB63AC">
            <w:pPr>
              <w:spacing w:line="23" w:lineRule="atLeast"/>
              <w:jc w:val="center"/>
            </w:pPr>
            <w:r>
              <w:t>669</w:t>
            </w:r>
          </w:p>
        </w:tc>
      </w:tr>
      <w:tr w:rsidR="00625A46" w:rsidTr="00EB63AC">
        <w:trPr>
          <w:jc w:val="center"/>
        </w:trPr>
        <w:tc>
          <w:tcPr>
            <w:tcW w:w="0" w:type="auto"/>
            <w:vAlign w:val="center"/>
          </w:tcPr>
          <w:p w:rsidR="00625A46" w:rsidRDefault="00625A46" w:rsidP="00EB63AC">
            <w:pPr>
              <w:spacing w:line="23" w:lineRule="atLeast"/>
              <w:jc w:val="center"/>
            </w:pPr>
            <w:r>
              <w:t>21</w:t>
            </w:r>
          </w:p>
        </w:tc>
        <w:tc>
          <w:tcPr>
            <w:tcW w:w="0" w:type="auto"/>
            <w:vAlign w:val="center"/>
          </w:tcPr>
          <w:p w:rsidR="00625A46" w:rsidRDefault="00625A46" w:rsidP="00EB63AC">
            <w:pPr>
              <w:spacing w:line="23" w:lineRule="atLeast"/>
              <w:jc w:val="center"/>
            </w:pPr>
            <w:r>
              <w:t>586</w:t>
            </w:r>
          </w:p>
        </w:tc>
      </w:tr>
      <w:tr w:rsidR="00625A46" w:rsidTr="00EB63AC">
        <w:trPr>
          <w:cnfStyle w:val="000000100000"/>
          <w:jc w:val="center"/>
        </w:trPr>
        <w:tc>
          <w:tcPr>
            <w:tcW w:w="0" w:type="auto"/>
            <w:vAlign w:val="center"/>
          </w:tcPr>
          <w:p w:rsidR="00625A46" w:rsidRDefault="00625A46" w:rsidP="00EB63AC">
            <w:pPr>
              <w:spacing w:line="23" w:lineRule="atLeast"/>
              <w:jc w:val="center"/>
            </w:pPr>
            <w:r>
              <w:t>22</w:t>
            </w:r>
          </w:p>
        </w:tc>
        <w:tc>
          <w:tcPr>
            <w:tcW w:w="0" w:type="auto"/>
            <w:vAlign w:val="center"/>
          </w:tcPr>
          <w:p w:rsidR="00625A46" w:rsidRDefault="00625A46" w:rsidP="00EB63AC">
            <w:pPr>
              <w:spacing w:line="23" w:lineRule="atLeast"/>
              <w:jc w:val="center"/>
            </w:pPr>
            <w:r>
              <w:t>496</w:t>
            </w:r>
          </w:p>
        </w:tc>
      </w:tr>
      <w:tr w:rsidR="00625A46" w:rsidTr="00EB63AC">
        <w:trPr>
          <w:jc w:val="center"/>
        </w:trPr>
        <w:tc>
          <w:tcPr>
            <w:tcW w:w="0" w:type="auto"/>
            <w:vAlign w:val="center"/>
          </w:tcPr>
          <w:p w:rsidR="00625A46" w:rsidRDefault="00625A46" w:rsidP="00EB63AC">
            <w:pPr>
              <w:spacing w:line="23" w:lineRule="atLeast"/>
              <w:jc w:val="center"/>
            </w:pPr>
            <w:r>
              <w:t>23</w:t>
            </w:r>
          </w:p>
        </w:tc>
        <w:tc>
          <w:tcPr>
            <w:tcW w:w="0" w:type="auto"/>
            <w:vAlign w:val="center"/>
          </w:tcPr>
          <w:p w:rsidR="00625A46" w:rsidRDefault="00625A46" w:rsidP="00EB63AC">
            <w:pPr>
              <w:spacing w:line="23" w:lineRule="atLeast"/>
              <w:jc w:val="center"/>
            </w:pPr>
            <w:r>
              <w:t>833</w:t>
            </w:r>
          </w:p>
        </w:tc>
      </w:tr>
      <w:tr w:rsidR="00625A46" w:rsidTr="00EB63AC">
        <w:trPr>
          <w:cnfStyle w:val="000000100000"/>
          <w:jc w:val="center"/>
        </w:trPr>
        <w:tc>
          <w:tcPr>
            <w:tcW w:w="0" w:type="auto"/>
            <w:vAlign w:val="center"/>
          </w:tcPr>
          <w:p w:rsidR="00625A46" w:rsidRDefault="00625A46" w:rsidP="00EB63AC">
            <w:pPr>
              <w:spacing w:line="23" w:lineRule="atLeast"/>
              <w:jc w:val="center"/>
            </w:pPr>
            <w:r>
              <w:t>24</w:t>
            </w:r>
          </w:p>
        </w:tc>
        <w:tc>
          <w:tcPr>
            <w:tcW w:w="0" w:type="auto"/>
            <w:vAlign w:val="center"/>
          </w:tcPr>
          <w:p w:rsidR="00625A46" w:rsidRDefault="00625A46" w:rsidP="00EB63AC">
            <w:pPr>
              <w:spacing w:line="23" w:lineRule="atLeast"/>
              <w:jc w:val="center"/>
            </w:pPr>
            <w:r>
              <w:t>794</w:t>
            </w:r>
          </w:p>
        </w:tc>
      </w:tr>
      <w:tr w:rsidR="00625A46" w:rsidTr="00EB63AC">
        <w:trPr>
          <w:jc w:val="center"/>
        </w:trPr>
        <w:tc>
          <w:tcPr>
            <w:tcW w:w="0" w:type="auto"/>
            <w:vAlign w:val="center"/>
          </w:tcPr>
          <w:p w:rsidR="00625A46" w:rsidRDefault="00625A46" w:rsidP="00EB63AC">
            <w:pPr>
              <w:spacing w:line="23" w:lineRule="atLeast"/>
              <w:jc w:val="center"/>
            </w:pPr>
            <w:r>
              <w:t>25</w:t>
            </w:r>
          </w:p>
        </w:tc>
        <w:tc>
          <w:tcPr>
            <w:tcW w:w="0" w:type="auto"/>
            <w:vAlign w:val="center"/>
          </w:tcPr>
          <w:p w:rsidR="00625A46" w:rsidRDefault="00625A46" w:rsidP="00EB63AC">
            <w:pPr>
              <w:spacing w:line="23" w:lineRule="atLeast"/>
              <w:jc w:val="center"/>
            </w:pPr>
            <w:r>
              <w:t>44</w:t>
            </w:r>
          </w:p>
        </w:tc>
      </w:tr>
    </w:tbl>
    <w:p w:rsidR="00625A46" w:rsidRDefault="00625A46" w:rsidP="00C804C6">
      <w:pPr>
        <w:spacing w:line="23" w:lineRule="atLeast"/>
        <w:jc w:val="both"/>
      </w:pPr>
    </w:p>
    <w:p w:rsidR="00625A46" w:rsidRPr="00EB63AC" w:rsidRDefault="00625A46" w:rsidP="00EB63AC">
      <w:pPr>
        <w:pStyle w:val="Heading2"/>
        <w:rPr>
          <w:b w:val="0"/>
        </w:rPr>
      </w:pPr>
      <w:r w:rsidRPr="00F11644">
        <w:t>2002 NO</w:t>
      </w:r>
      <w:r w:rsidRPr="00F11644">
        <w:rPr>
          <w:vertAlign w:val="subscript"/>
        </w:rPr>
        <w:t>x</w:t>
      </w:r>
      <w:r w:rsidRPr="00F11644">
        <w:t xml:space="preserve"> Credit Loss </w:t>
      </w:r>
    </w:p>
    <w:p w:rsidR="00625A46" w:rsidRDefault="00625A46" w:rsidP="00C804C6">
      <w:pPr>
        <w:pStyle w:val="Default"/>
        <w:spacing w:line="23" w:lineRule="atLeast"/>
        <w:jc w:val="both"/>
        <w:rPr>
          <w:rFonts w:asciiTheme="minorHAnsi" w:hAnsiTheme="minorHAnsi" w:cstheme="minorBidi"/>
          <w:color w:val="auto"/>
          <w:sz w:val="22"/>
          <w:szCs w:val="22"/>
        </w:rPr>
      </w:pPr>
      <w:r w:rsidRPr="00EB63AC">
        <w:rPr>
          <w:rFonts w:asciiTheme="minorHAnsi" w:hAnsiTheme="minorHAnsi" w:cstheme="minorBidi"/>
          <w:color w:val="auto"/>
          <w:sz w:val="22"/>
          <w:szCs w:val="22"/>
        </w:rPr>
        <w:t>MOBILE6.2 emission factors fo</w:t>
      </w:r>
      <w:r w:rsidRPr="00625A46">
        <w:rPr>
          <w:rFonts w:asciiTheme="minorHAnsi" w:hAnsiTheme="minorHAnsi" w:cstheme="minorBidi"/>
          <w:color w:val="auto"/>
          <w:sz w:val="22"/>
          <w:szCs w:val="22"/>
        </w:rPr>
        <w:t xml:space="preserve">r calculating the 2002 NOx credit loss from these exempted vehicles were determined in the following manner. Six combined highway mobile source control strategies were modeled: </w:t>
      </w:r>
    </w:p>
    <w:p w:rsidR="00625A46" w:rsidRPr="00625A46" w:rsidRDefault="00625A46" w:rsidP="00C804C6">
      <w:pPr>
        <w:pStyle w:val="Default"/>
        <w:spacing w:line="23" w:lineRule="atLeast"/>
        <w:jc w:val="both"/>
        <w:rPr>
          <w:rFonts w:asciiTheme="minorHAnsi" w:hAnsiTheme="minorHAnsi" w:cstheme="minorBidi"/>
          <w:color w:val="auto"/>
          <w:sz w:val="22"/>
          <w:szCs w:val="22"/>
        </w:rPr>
      </w:pP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 enhanced I/M in all 13 Atlanta ozone nonattainment area counties; </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 </w:t>
      </w:r>
      <w:proofErr w:type="gramStart"/>
      <w:r w:rsidRPr="00625A46">
        <w:rPr>
          <w:rFonts w:asciiTheme="minorHAnsi" w:hAnsiTheme="minorHAnsi" w:cstheme="minorBidi"/>
          <w:color w:val="auto"/>
          <w:sz w:val="22"/>
          <w:szCs w:val="22"/>
        </w:rPr>
        <w:t>the</w:t>
      </w:r>
      <w:proofErr w:type="gramEnd"/>
      <w:r w:rsidRPr="00625A46">
        <w:rPr>
          <w:rFonts w:asciiTheme="minorHAnsi" w:hAnsiTheme="minorHAnsi" w:cstheme="minorBidi"/>
          <w:color w:val="auto"/>
          <w:sz w:val="22"/>
          <w:szCs w:val="22"/>
        </w:rPr>
        <w:t xml:space="preserve"> Federal Motor Vehicle Control Program, including Tier 1 and Tier 2 tailpipe standards; </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lastRenderedPageBreak/>
        <w:t xml:space="preserve">• Stage II vapor recovery; </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 </w:t>
      </w:r>
      <w:proofErr w:type="gramStart"/>
      <w:r w:rsidRPr="00625A46">
        <w:rPr>
          <w:rFonts w:asciiTheme="minorHAnsi" w:hAnsiTheme="minorHAnsi" w:cstheme="minorBidi"/>
          <w:color w:val="auto"/>
          <w:sz w:val="22"/>
          <w:szCs w:val="22"/>
        </w:rPr>
        <w:t>low-sulfur</w:t>
      </w:r>
      <w:proofErr w:type="gramEnd"/>
      <w:r w:rsidRPr="00625A46">
        <w:rPr>
          <w:rFonts w:asciiTheme="minorHAnsi" w:hAnsiTheme="minorHAnsi" w:cstheme="minorBidi"/>
          <w:color w:val="auto"/>
          <w:sz w:val="22"/>
          <w:szCs w:val="22"/>
        </w:rPr>
        <w:t xml:space="preserve"> (150 parts per million, or </w:t>
      </w:r>
      <w:proofErr w:type="spellStart"/>
      <w:r w:rsidRPr="00625A46">
        <w:rPr>
          <w:rFonts w:asciiTheme="minorHAnsi" w:hAnsiTheme="minorHAnsi" w:cstheme="minorBidi"/>
          <w:color w:val="auto"/>
          <w:sz w:val="22"/>
          <w:szCs w:val="22"/>
        </w:rPr>
        <w:t>ppm</w:t>
      </w:r>
      <w:proofErr w:type="spellEnd"/>
      <w:r w:rsidRPr="00625A46">
        <w:rPr>
          <w:rFonts w:asciiTheme="minorHAnsi" w:hAnsiTheme="minorHAnsi" w:cstheme="minorBidi"/>
          <w:color w:val="auto"/>
          <w:sz w:val="22"/>
          <w:szCs w:val="22"/>
        </w:rPr>
        <w:t xml:space="preserve">) and low Reid Vapor Pressure (7.0 pounds per square inch, or psi) gasoline; </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 </w:t>
      </w:r>
      <w:proofErr w:type="gramStart"/>
      <w:r w:rsidRPr="00625A46">
        <w:rPr>
          <w:rFonts w:asciiTheme="minorHAnsi" w:hAnsiTheme="minorHAnsi" w:cstheme="minorBidi"/>
          <w:color w:val="auto"/>
          <w:sz w:val="22"/>
          <w:szCs w:val="22"/>
        </w:rPr>
        <w:t>the</w:t>
      </w:r>
      <w:proofErr w:type="gramEnd"/>
      <w:r w:rsidRPr="00625A46">
        <w:rPr>
          <w:rFonts w:asciiTheme="minorHAnsi" w:hAnsiTheme="minorHAnsi" w:cstheme="minorBidi"/>
          <w:color w:val="auto"/>
          <w:sz w:val="22"/>
          <w:szCs w:val="22"/>
        </w:rPr>
        <w:t xml:space="preserve"> National Low Emission Vehicle (NLEV) program; and </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proofErr w:type="gramStart"/>
      <w:r w:rsidRPr="00625A46">
        <w:rPr>
          <w:rFonts w:asciiTheme="minorHAnsi" w:hAnsiTheme="minorHAnsi" w:cstheme="minorBidi"/>
          <w:color w:val="auto"/>
          <w:sz w:val="22"/>
          <w:szCs w:val="22"/>
        </w:rPr>
        <w:t>• technician training and certification).</w:t>
      </w:r>
      <w:proofErr w:type="gramEnd"/>
      <w:r w:rsidRPr="00625A46">
        <w:rPr>
          <w:rFonts w:asciiTheme="minorHAnsi" w:hAnsiTheme="minorHAnsi" w:cstheme="minorBidi"/>
          <w:color w:val="auto"/>
          <w:sz w:val="22"/>
          <w:szCs w:val="22"/>
        </w:rPr>
        <w:t xml:space="preserve"> </w:t>
      </w:r>
    </w:p>
    <w:p w:rsidR="00625A46" w:rsidRPr="00625A46" w:rsidRDefault="00625A46" w:rsidP="00C804C6">
      <w:pPr>
        <w:pStyle w:val="Default"/>
        <w:spacing w:line="23" w:lineRule="atLeast"/>
        <w:rPr>
          <w:rFonts w:asciiTheme="minorHAnsi" w:hAnsiTheme="minorHAnsi" w:cstheme="minorBidi"/>
          <w:color w:val="auto"/>
          <w:sz w:val="22"/>
          <w:szCs w:val="22"/>
        </w:rPr>
      </w:pPr>
    </w:p>
    <w:p w:rsidR="00625A46" w:rsidRDefault="00625A46" w:rsidP="00C804C6">
      <w:pPr>
        <w:pStyle w:val="Default"/>
        <w:spacing w:line="23" w:lineRule="atLeast"/>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The enhanced I/M program is a decentralized annual hybrid with onboard diagnostics (OBD-II) system checks on 1996 and newer model year vehicles; and two-mode ASM tests on 25-year-old through 1995 model year vehicles. Anti-tampering inspections (checking for catalyst removal) are performed on 25-year-old through 1995 model year vehicles, and gas cap pressure tests are performed on all vehicles subject to inspection. </w:t>
      </w:r>
    </w:p>
    <w:p w:rsidR="00625A46" w:rsidRDefault="00625A46" w:rsidP="00C804C6">
      <w:pPr>
        <w:pStyle w:val="Default"/>
        <w:spacing w:line="23" w:lineRule="atLeast"/>
        <w:jc w:val="both"/>
        <w:rPr>
          <w:rFonts w:asciiTheme="minorHAnsi" w:hAnsiTheme="minorHAnsi" w:cstheme="minorBidi"/>
          <w:color w:val="auto"/>
          <w:sz w:val="22"/>
          <w:szCs w:val="22"/>
        </w:rPr>
      </w:pP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An overall 2002 highway mobile source NO inventory based on July 1, 2002, MOBILE6.2 emission factors with all controls in place (310,382,142 grams per day) was divided by the total summer-adjusted 2002 VMT (122,754,275 miles) with a resulting overall grams-per-mi</w:t>
      </w:r>
      <w:r>
        <w:rPr>
          <w:rFonts w:asciiTheme="minorHAnsi" w:hAnsiTheme="minorHAnsi" w:cstheme="minorBidi"/>
          <w:color w:val="auto"/>
          <w:sz w:val="22"/>
          <w:szCs w:val="22"/>
        </w:rPr>
        <w:t>le NO emission factor of 2.528.</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 MOBILE6.2 runs with all subject vehicles receiving their appropriate test were performed to determine the speed that would result in a July 1, 2002, NO emission factor of 2.528 grams </w:t>
      </w:r>
      <w:r>
        <w:rPr>
          <w:rFonts w:asciiTheme="minorHAnsi" w:hAnsiTheme="minorHAnsi" w:cstheme="minorBidi"/>
          <w:color w:val="auto"/>
          <w:sz w:val="22"/>
          <w:szCs w:val="22"/>
        </w:rPr>
        <w:t>per mile: 38.58 miles per hour.</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xml:space="preserve">• Two separate July 1, 2002, MOBILE6.2 runs, at 38.58 mph and with emissions calculated by model year, were made: one with hybrid I/M on 25-year-old and newer subject vehicles; the other with OBD-II system checks on 1996 and newer vehicles, with 1995 and older vehicles exempted. </w:t>
      </w:r>
    </w:p>
    <w:p w:rsidR="00625A46" w:rsidRP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Next, both sets (covered and exempt) of emission factors were separately multiplied by the VMT fractions</w:t>
      </w:r>
      <w:r>
        <w:rPr>
          <w:rStyle w:val="FootnoteReference"/>
          <w:rFonts w:asciiTheme="minorHAnsi" w:hAnsiTheme="minorHAnsi" w:cstheme="minorBidi"/>
          <w:color w:val="auto"/>
          <w:sz w:val="22"/>
          <w:szCs w:val="22"/>
        </w:rPr>
        <w:footnoteReference w:id="1"/>
      </w:r>
      <w:r w:rsidRPr="00625A46">
        <w:rPr>
          <w:rFonts w:asciiTheme="minorHAnsi" w:hAnsiTheme="minorHAnsi" w:cstheme="minorBidi"/>
          <w:color w:val="auto"/>
          <w:sz w:val="22"/>
          <w:szCs w:val="22"/>
        </w:rPr>
        <w:t xml:space="preserve">, normalized to total 1.000, for the appropriate vehicle types (LDGV, LDGT12, LDGT34), and the three products were then added together to produce a single passenger vehicle emission factor for each exempted vehicle age. </w:t>
      </w:r>
    </w:p>
    <w:p w:rsidR="00625A46" w:rsidRDefault="00625A46" w:rsidP="00C804C6">
      <w:pPr>
        <w:pStyle w:val="Default"/>
        <w:spacing w:line="23" w:lineRule="atLeast"/>
        <w:ind w:left="720" w:hanging="360"/>
        <w:jc w:val="both"/>
        <w:rPr>
          <w:rFonts w:asciiTheme="minorHAnsi" w:hAnsiTheme="minorHAnsi" w:cstheme="minorBidi"/>
          <w:color w:val="auto"/>
          <w:sz w:val="22"/>
          <w:szCs w:val="22"/>
        </w:rPr>
      </w:pPr>
      <w:r w:rsidRPr="00625A46">
        <w:rPr>
          <w:rFonts w:asciiTheme="minorHAnsi" w:hAnsiTheme="minorHAnsi" w:cstheme="minorBidi"/>
          <w:color w:val="auto"/>
          <w:sz w:val="22"/>
          <w:szCs w:val="22"/>
        </w:rPr>
        <w:t>• The differences in the covered and exempt emission factors were then determined for each exempted vehicle age, these differences were multiplied by 4999, the maximum allowable yearly miles traveled by exempt vehicles, and that product was the</w:t>
      </w:r>
      <w:r>
        <w:rPr>
          <w:rFonts w:asciiTheme="minorHAnsi" w:hAnsiTheme="minorHAnsi" w:cstheme="minorBidi"/>
          <w:color w:val="auto"/>
          <w:sz w:val="22"/>
          <w:szCs w:val="22"/>
        </w:rPr>
        <w:t xml:space="preserve">n multiplied by the number of vehicles of that age to determine grams per year.  Grams per year were converted to tons per day (907,180 grams per ton, 365 days per year) and the resulting </w:t>
      </w:r>
      <w:r>
        <w:rPr>
          <w:rFonts w:asciiTheme="minorHAnsi" w:hAnsiTheme="minorHAnsi" w:cstheme="minorBidi"/>
          <w:b/>
          <w:color w:val="auto"/>
          <w:sz w:val="22"/>
          <w:szCs w:val="22"/>
        </w:rPr>
        <w:t>NO</w:t>
      </w:r>
      <w:r>
        <w:rPr>
          <w:rFonts w:asciiTheme="minorHAnsi" w:hAnsiTheme="minorHAnsi" w:cstheme="minorBidi"/>
          <w:b/>
          <w:color w:val="auto"/>
          <w:sz w:val="22"/>
          <w:szCs w:val="22"/>
          <w:vertAlign w:val="subscript"/>
        </w:rPr>
        <w:t>x</w:t>
      </w:r>
      <w:r>
        <w:rPr>
          <w:rFonts w:asciiTheme="minorHAnsi" w:hAnsiTheme="minorHAnsi" w:cstheme="minorBidi"/>
          <w:b/>
          <w:color w:val="auto"/>
          <w:sz w:val="22"/>
          <w:szCs w:val="22"/>
        </w:rPr>
        <w:t xml:space="preserve"> reduction credit </w:t>
      </w:r>
      <w:r w:rsidR="00F11644">
        <w:rPr>
          <w:rFonts w:asciiTheme="minorHAnsi" w:hAnsiTheme="minorHAnsi" w:cstheme="minorBidi"/>
          <w:b/>
          <w:color w:val="auto"/>
          <w:sz w:val="22"/>
          <w:szCs w:val="22"/>
        </w:rPr>
        <w:t>loss for 2002 was determine</w:t>
      </w:r>
      <w:r>
        <w:rPr>
          <w:rFonts w:asciiTheme="minorHAnsi" w:hAnsiTheme="minorHAnsi" w:cstheme="minorBidi"/>
          <w:b/>
          <w:color w:val="auto"/>
          <w:sz w:val="22"/>
          <w:szCs w:val="22"/>
        </w:rPr>
        <w:t>d</w:t>
      </w:r>
      <w:r w:rsidR="00F11644">
        <w:rPr>
          <w:rFonts w:asciiTheme="minorHAnsi" w:hAnsiTheme="minorHAnsi" w:cstheme="minorBidi"/>
          <w:b/>
          <w:color w:val="auto"/>
          <w:sz w:val="22"/>
          <w:szCs w:val="22"/>
        </w:rPr>
        <w:t xml:space="preserve"> </w:t>
      </w:r>
      <w:r>
        <w:rPr>
          <w:rFonts w:asciiTheme="minorHAnsi" w:hAnsiTheme="minorHAnsi" w:cstheme="minorBidi"/>
          <w:b/>
          <w:color w:val="auto"/>
          <w:sz w:val="22"/>
          <w:szCs w:val="22"/>
        </w:rPr>
        <w:t>to be 0.03 tons per day.</w:t>
      </w:r>
    </w:p>
    <w:p w:rsidR="00F11644" w:rsidRDefault="00F11644" w:rsidP="00C804C6">
      <w:pPr>
        <w:pStyle w:val="Default"/>
        <w:spacing w:line="23" w:lineRule="atLeast"/>
        <w:ind w:left="720" w:hanging="360"/>
        <w:jc w:val="both"/>
        <w:rPr>
          <w:rFonts w:asciiTheme="minorHAnsi" w:hAnsiTheme="minorHAnsi" w:cstheme="minorBidi"/>
          <w:color w:val="auto"/>
          <w:sz w:val="22"/>
          <w:szCs w:val="22"/>
        </w:rPr>
      </w:pPr>
    </w:p>
    <w:p w:rsidR="00F11644" w:rsidRDefault="00F11644" w:rsidP="00EB63AC">
      <w:pPr>
        <w:pStyle w:val="Heading2"/>
        <w:rPr>
          <w:b w:val="0"/>
          <w:bCs w:val="0"/>
          <w:color w:val="auto"/>
          <w:sz w:val="23"/>
          <w:szCs w:val="23"/>
        </w:rPr>
      </w:pPr>
      <w:r w:rsidRPr="00F11644">
        <w:t xml:space="preserve">2002 VOC Credit Loss </w:t>
      </w:r>
    </w:p>
    <w:p w:rsidR="00F11644" w:rsidRPr="00F11644" w:rsidRDefault="00F11644" w:rsidP="00C804C6">
      <w:pPr>
        <w:pStyle w:val="Default"/>
        <w:spacing w:line="23" w:lineRule="atLeast"/>
        <w:jc w:val="both"/>
        <w:rPr>
          <w:rFonts w:asciiTheme="minorHAnsi" w:hAnsiTheme="minorHAnsi"/>
          <w:bCs/>
          <w:color w:val="auto"/>
          <w:sz w:val="22"/>
          <w:szCs w:val="22"/>
        </w:rPr>
      </w:pPr>
      <w:r w:rsidRPr="00F11644">
        <w:rPr>
          <w:rFonts w:asciiTheme="minorHAnsi" w:hAnsiTheme="minorHAnsi"/>
          <w:bCs/>
          <w:color w:val="auto"/>
          <w:sz w:val="22"/>
          <w:szCs w:val="22"/>
        </w:rPr>
        <w:t xml:space="preserve">MOBILE6.2 emission factors for calculating the 2002 VOC credit loss from these exempted vehicles were determined in the following manner: </w:t>
      </w:r>
    </w:p>
    <w:p w:rsidR="00F11644" w:rsidRPr="00F11644" w:rsidRDefault="00F11644" w:rsidP="00C804C6">
      <w:pPr>
        <w:pStyle w:val="Default"/>
        <w:spacing w:line="23" w:lineRule="atLeast"/>
        <w:ind w:left="720" w:hanging="360"/>
        <w:jc w:val="both"/>
        <w:rPr>
          <w:rFonts w:asciiTheme="minorHAnsi" w:hAnsiTheme="minorHAnsi"/>
          <w:bCs/>
          <w:color w:val="auto"/>
          <w:sz w:val="22"/>
          <w:szCs w:val="22"/>
        </w:rPr>
      </w:pPr>
      <w:r w:rsidRPr="00F11644">
        <w:rPr>
          <w:rFonts w:asciiTheme="minorHAnsi" w:hAnsiTheme="minorHAnsi"/>
          <w:bCs/>
          <w:color w:val="auto"/>
          <w:sz w:val="22"/>
          <w:szCs w:val="22"/>
        </w:rPr>
        <w:t xml:space="preserve">• An overall 2002 highway mobile source VOC inventory based on July 1, 2002, MOBILE6.2 emission factors with all controls in place (158,026,372 grams per day) was divided by the total 2002 VMT (122,754,275 miles) with a resulting overall grams-per-mile VOC emission factor of 1.287. </w:t>
      </w:r>
    </w:p>
    <w:p w:rsidR="00F11644" w:rsidRPr="00F11644" w:rsidRDefault="00F11644" w:rsidP="00C804C6">
      <w:pPr>
        <w:pStyle w:val="Default"/>
        <w:spacing w:line="23" w:lineRule="atLeast"/>
        <w:ind w:left="720" w:hanging="360"/>
        <w:jc w:val="both"/>
        <w:rPr>
          <w:rFonts w:asciiTheme="minorHAnsi" w:hAnsiTheme="minorHAnsi"/>
          <w:bCs/>
          <w:color w:val="auto"/>
          <w:sz w:val="22"/>
          <w:szCs w:val="22"/>
        </w:rPr>
      </w:pPr>
      <w:r w:rsidRPr="00F11644">
        <w:rPr>
          <w:rFonts w:asciiTheme="minorHAnsi" w:hAnsiTheme="minorHAnsi"/>
          <w:bCs/>
          <w:color w:val="auto"/>
          <w:sz w:val="22"/>
          <w:szCs w:val="22"/>
        </w:rPr>
        <w:t xml:space="preserve">• MOBILE6.2 runs with all subject vehicles receiving their appropriate test were performed to determine the speed that would result in a July 1, 2002, VOC emission factor of 1.287 grams per mile: 30.6 miles per hour. </w:t>
      </w:r>
    </w:p>
    <w:p w:rsidR="00F11644" w:rsidRPr="00F11644" w:rsidRDefault="00F11644" w:rsidP="00C804C6">
      <w:pPr>
        <w:pStyle w:val="Default"/>
        <w:spacing w:line="23" w:lineRule="atLeast"/>
        <w:ind w:left="720" w:hanging="360"/>
        <w:jc w:val="both"/>
        <w:rPr>
          <w:rFonts w:asciiTheme="minorHAnsi" w:hAnsiTheme="minorHAnsi"/>
          <w:bCs/>
          <w:color w:val="auto"/>
          <w:sz w:val="22"/>
          <w:szCs w:val="22"/>
        </w:rPr>
      </w:pPr>
      <w:r w:rsidRPr="00F11644">
        <w:rPr>
          <w:rFonts w:asciiTheme="minorHAnsi" w:hAnsiTheme="minorHAnsi"/>
          <w:bCs/>
          <w:color w:val="auto"/>
          <w:sz w:val="22"/>
          <w:szCs w:val="22"/>
        </w:rPr>
        <w:lastRenderedPageBreak/>
        <w:t xml:space="preserve">• Two separate July 1, 2002, MOBILE6.2 runs, at 30.6 mph and with emissions calculated by model year, were made: one with hybrid I/M on 25-year-old and newer subject vehicles; the other with OBD-II system checks on 1996 and newer vehicles, with 1995 and older vehicles exempted. </w:t>
      </w:r>
    </w:p>
    <w:p w:rsidR="00F11644" w:rsidRPr="00F11644" w:rsidRDefault="00F11644" w:rsidP="00C804C6">
      <w:pPr>
        <w:pStyle w:val="Default"/>
        <w:spacing w:line="23" w:lineRule="atLeast"/>
        <w:ind w:left="720" w:hanging="360"/>
        <w:jc w:val="both"/>
        <w:rPr>
          <w:rFonts w:asciiTheme="minorHAnsi" w:hAnsiTheme="minorHAnsi"/>
          <w:bCs/>
          <w:color w:val="auto"/>
          <w:sz w:val="22"/>
          <w:szCs w:val="22"/>
        </w:rPr>
      </w:pPr>
      <w:r w:rsidRPr="00F11644">
        <w:rPr>
          <w:rFonts w:asciiTheme="minorHAnsi" w:hAnsiTheme="minorHAnsi"/>
          <w:bCs/>
          <w:color w:val="auto"/>
          <w:sz w:val="22"/>
          <w:szCs w:val="22"/>
        </w:rPr>
        <w:t xml:space="preserve">• Next, both sets (covered and exempt) of emission factors were separately multiplied by the VMT fractions, normalized to total 1.000, for the appropriate vehicle types (LDGV, LDGT12, LDGT34), and the three products were then added together to produce a single passenger vehicle emission factor for each exempted vehicle age. </w:t>
      </w:r>
    </w:p>
    <w:p w:rsidR="00F11644" w:rsidRDefault="00F11644" w:rsidP="00C804C6">
      <w:pPr>
        <w:pStyle w:val="Default"/>
        <w:spacing w:line="23" w:lineRule="atLeast"/>
        <w:ind w:left="720" w:hanging="360"/>
        <w:jc w:val="both"/>
        <w:rPr>
          <w:rFonts w:asciiTheme="minorHAnsi" w:hAnsiTheme="minorHAnsi"/>
          <w:b/>
          <w:bCs/>
          <w:sz w:val="22"/>
          <w:szCs w:val="22"/>
        </w:rPr>
      </w:pPr>
      <w:r w:rsidRPr="00F11644">
        <w:rPr>
          <w:rFonts w:asciiTheme="minorHAnsi" w:hAnsiTheme="minorHAnsi"/>
          <w:bCs/>
          <w:color w:val="auto"/>
          <w:sz w:val="22"/>
          <w:szCs w:val="22"/>
        </w:rPr>
        <w:t xml:space="preserve">• The differences in the covered and exempt emission factors were then determined for each exempted vehicle age, these differences were multiplied by 4999, the maximum allowable yearly miles traveled by exempt vehicles, and that product was then multiplied by the number of vehicles of that age to determine grams per year. Grams per year were converted to tons per day (907,180 grams per ton, 365 days per year) and the resulting </w:t>
      </w:r>
      <w:r w:rsidRPr="00F11644">
        <w:rPr>
          <w:rFonts w:asciiTheme="minorHAnsi" w:hAnsiTheme="minorHAnsi"/>
          <w:b/>
          <w:bCs/>
          <w:color w:val="auto"/>
          <w:sz w:val="22"/>
          <w:szCs w:val="22"/>
        </w:rPr>
        <w:t>VOC reduction credit loss for 2002 was determined to be 0.05 tons per day.</w:t>
      </w:r>
      <w:r w:rsidRPr="00F11644">
        <w:rPr>
          <w:rFonts w:asciiTheme="minorHAnsi" w:hAnsiTheme="minorHAnsi"/>
          <w:b/>
          <w:bCs/>
          <w:sz w:val="22"/>
          <w:szCs w:val="22"/>
        </w:rPr>
        <w:t xml:space="preserve"> </w:t>
      </w:r>
    </w:p>
    <w:p w:rsidR="00C804C6" w:rsidRDefault="00C804C6" w:rsidP="00C804C6">
      <w:pPr>
        <w:pStyle w:val="Default"/>
        <w:spacing w:line="23" w:lineRule="atLeast"/>
        <w:ind w:left="720" w:hanging="360"/>
        <w:jc w:val="both"/>
        <w:rPr>
          <w:rFonts w:asciiTheme="minorHAnsi" w:hAnsiTheme="minorHAnsi"/>
          <w:b/>
          <w:bCs/>
          <w:sz w:val="22"/>
          <w:szCs w:val="22"/>
        </w:rPr>
      </w:pPr>
    </w:p>
    <w:p w:rsidR="00C804C6" w:rsidRDefault="00C804C6" w:rsidP="00C804C6">
      <w:pPr>
        <w:pStyle w:val="Default"/>
        <w:spacing w:line="23" w:lineRule="atLeast"/>
        <w:ind w:left="720" w:hanging="360"/>
        <w:jc w:val="both"/>
        <w:rPr>
          <w:rFonts w:asciiTheme="minorHAnsi" w:hAnsiTheme="minorHAnsi"/>
          <w:sz w:val="22"/>
          <w:szCs w:val="22"/>
        </w:rPr>
        <w:sectPr w:rsidR="00C804C6" w:rsidSect="00F63BB2">
          <w:pgSz w:w="12240" w:h="15840"/>
          <w:pgMar w:top="1440" w:right="1440" w:bottom="1440" w:left="1440" w:header="720" w:footer="720" w:gutter="0"/>
          <w:cols w:space="720"/>
          <w:docGrid w:linePitch="360"/>
        </w:sectPr>
      </w:pPr>
    </w:p>
    <w:p w:rsidR="00C804C6" w:rsidRPr="00F11644" w:rsidRDefault="00C804C6" w:rsidP="00C804C6">
      <w:pPr>
        <w:pStyle w:val="Default"/>
        <w:spacing w:line="23" w:lineRule="atLeast"/>
        <w:ind w:left="720" w:hanging="360"/>
        <w:jc w:val="both"/>
        <w:rPr>
          <w:rFonts w:asciiTheme="minorHAnsi" w:hAnsiTheme="minorHAnsi"/>
          <w:sz w:val="22"/>
          <w:szCs w:val="22"/>
        </w:rPr>
      </w:pPr>
      <w:r>
        <w:rPr>
          <w:rFonts w:asciiTheme="minorHAnsi" w:hAnsiTheme="minorHAnsi"/>
          <w:noProof/>
          <w:sz w:val="22"/>
          <w:szCs w:val="22"/>
        </w:rPr>
        <w:lastRenderedPageBreak/>
        <w:drawing>
          <wp:inline distT="0" distB="0" distL="0" distR="0">
            <wp:extent cx="8229600" cy="54704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229600" cy="5470405"/>
                    </a:xfrm>
                    <a:prstGeom prst="rect">
                      <a:avLst/>
                    </a:prstGeom>
                    <a:noFill/>
                    <a:ln w="9525">
                      <a:noFill/>
                      <a:miter lim="800000"/>
                      <a:headEnd/>
                      <a:tailEnd/>
                    </a:ln>
                  </pic:spPr>
                </pic:pic>
              </a:graphicData>
            </a:graphic>
          </wp:inline>
        </w:drawing>
      </w:r>
    </w:p>
    <w:p w:rsidR="00F11644" w:rsidRPr="00625A46" w:rsidRDefault="00F11644" w:rsidP="00625A46">
      <w:pPr>
        <w:pStyle w:val="Default"/>
        <w:ind w:left="720" w:hanging="360"/>
        <w:jc w:val="both"/>
        <w:rPr>
          <w:color w:val="auto"/>
          <w:sz w:val="23"/>
          <w:szCs w:val="23"/>
        </w:rPr>
      </w:pPr>
    </w:p>
    <w:p w:rsidR="00625A46" w:rsidRPr="00625A46" w:rsidRDefault="00625A46" w:rsidP="00625A46">
      <w:pPr>
        <w:jc w:val="both"/>
      </w:pPr>
    </w:p>
    <w:sectPr w:rsidR="00625A46" w:rsidRPr="00625A46" w:rsidSect="00C804C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FEA" w:rsidRDefault="00604FEA" w:rsidP="00625A46">
      <w:pPr>
        <w:spacing w:after="0" w:line="240" w:lineRule="auto"/>
      </w:pPr>
      <w:r>
        <w:separator/>
      </w:r>
    </w:p>
  </w:endnote>
  <w:endnote w:type="continuationSeparator" w:id="0">
    <w:p w:rsidR="00604FEA" w:rsidRDefault="00604FEA" w:rsidP="00625A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FEA" w:rsidRDefault="00604FEA" w:rsidP="00625A46">
      <w:pPr>
        <w:spacing w:after="0" w:line="240" w:lineRule="auto"/>
      </w:pPr>
      <w:r>
        <w:separator/>
      </w:r>
    </w:p>
  </w:footnote>
  <w:footnote w:type="continuationSeparator" w:id="0">
    <w:p w:rsidR="00604FEA" w:rsidRDefault="00604FEA" w:rsidP="00625A46">
      <w:pPr>
        <w:spacing w:after="0" w:line="240" w:lineRule="auto"/>
      </w:pPr>
      <w:r>
        <w:continuationSeparator/>
      </w:r>
    </w:p>
  </w:footnote>
  <w:footnote w:id="1">
    <w:p w:rsidR="00625A46" w:rsidRDefault="00625A46">
      <w:pPr>
        <w:pStyle w:val="FootnoteText"/>
      </w:pPr>
      <w:r>
        <w:rPr>
          <w:rStyle w:val="FootnoteReference"/>
        </w:rPr>
        <w:footnoteRef/>
      </w:r>
      <w:r>
        <w:t xml:space="preserve"> An output of MOBILE6.2, the VMT (vehicle miles traveled) fraction is the fraction of total VMT traveled by each vehicle type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36FC3"/>
    <w:multiLevelType w:val="hybridMultilevel"/>
    <w:tmpl w:val="D14E2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25A46"/>
    <w:rsid w:val="000D2A0C"/>
    <w:rsid w:val="001A0174"/>
    <w:rsid w:val="00274BB8"/>
    <w:rsid w:val="003F5C89"/>
    <w:rsid w:val="00604FEA"/>
    <w:rsid w:val="00605E21"/>
    <w:rsid w:val="00625A46"/>
    <w:rsid w:val="00C804C6"/>
    <w:rsid w:val="00EB63AC"/>
    <w:rsid w:val="00F11644"/>
    <w:rsid w:val="00F63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BB2"/>
  </w:style>
  <w:style w:type="paragraph" w:styleId="Heading1">
    <w:name w:val="heading 1"/>
    <w:basedOn w:val="Normal"/>
    <w:next w:val="Normal"/>
    <w:link w:val="Heading1Char"/>
    <w:uiPriority w:val="9"/>
    <w:qFormat/>
    <w:rsid w:val="00EB63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63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5A46"/>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25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625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A46"/>
    <w:rPr>
      <w:sz w:val="20"/>
      <w:szCs w:val="20"/>
    </w:rPr>
  </w:style>
  <w:style w:type="character" w:styleId="FootnoteReference">
    <w:name w:val="footnote reference"/>
    <w:basedOn w:val="DefaultParagraphFont"/>
    <w:uiPriority w:val="99"/>
    <w:semiHidden/>
    <w:unhideWhenUsed/>
    <w:rsid w:val="00625A46"/>
    <w:rPr>
      <w:vertAlign w:val="superscript"/>
    </w:rPr>
  </w:style>
  <w:style w:type="paragraph" w:styleId="BalloonText">
    <w:name w:val="Balloon Text"/>
    <w:basedOn w:val="Normal"/>
    <w:link w:val="BalloonTextChar"/>
    <w:uiPriority w:val="99"/>
    <w:semiHidden/>
    <w:unhideWhenUsed/>
    <w:rsid w:val="00C80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4C6"/>
    <w:rPr>
      <w:rFonts w:ascii="Tahoma" w:hAnsi="Tahoma" w:cs="Tahoma"/>
      <w:sz w:val="16"/>
      <w:szCs w:val="16"/>
    </w:rPr>
  </w:style>
  <w:style w:type="character" w:customStyle="1" w:styleId="Heading1Char">
    <w:name w:val="Heading 1 Char"/>
    <w:basedOn w:val="DefaultParagraphFont"/>
    <w:link w:val="Heading1"/>
    <w:uiPriority w:val="9"/>
    <w:rsid w:val="00EB63AC"/>
    <w:rPr>
      <w:rFonts w:asciiTheme="majorHAnsi" w:eastAsiaTheme="majorEastAsia" w:hAnsiTheme="majorHAnsi" w:cstheme="majorBidi"/>
      <w:b/>
      <w:bCs/>
      <w:color w:val="365F91" w:themeColor="accent1" w:themeShade="BF"/>
      <w:sz w:val="28"/>
      <w:szCs w:val="28"/>
    </w:rPr>
  </w:style>
  <w:style w:type="table" w:styleId="MediumShading2-Accent1">
    <w:name w:val="Medium Shading 2 Accent 1"/>
    <w:basedOn w:val="TableNormal"/>
    <w:uiPriority w:val="64"/>
    <w:rsid w:val="00EB63A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2Char">
    <w:name w:val="Heading 2 Char"/>
    <w:basedOn w:val="DefaultParagraphFont"/>
    <w:link w:val="Heading2"/>
    <w:uiPriority w:val="9"/>
    <w:rsid w:val="00EB63A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3CC2F-EA78-4EA7-B973-F93A6B32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ARC</Company>
  <LinksUpToDate>false</LinksUpToDate>
  <CharactersWithSpaces>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DavidDO</dc:creator>
  <cp:keywords/>
  <dc:description/>
  <cp:lastModifiedBy>DavidDO</cp:lastModifiedBy>
  <cp:revision>4</cp:revision>
  <dcterms:created xsi:type="dcterms:W3CDTF">2011-10-24T14:20:00Z</dcterms:created>
  <dcterms:modified xsi:type="dcterms:W3CDTF">2011-11-02T17:44:00Z</dcterms:modified>
</cp:coreProperties>
</file>