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17D" w:rsidRDefault="008C617D" w:rsidP="00003529">
      <w:pPr>
        <w:pStyle w:val="Title"/>
        <w:jc w:val="center"/>
      </w:pPr>
      <w:bookmarkStart w:id="0" w:name="_Toc307469363"/>
    </w:p>
    <w:p w:rsidR="008C617D" w:rsidRDefault="008C617D" w:rsidP="00003529">
      <w:pPr>
        <w:pStyle w:val="Title"/>
        <w:jc w:val="center"/>
      </w:pPr>
    </w:p>
    <w:p w:rsidR="008C617D" w:rsidRDefault="008C617D" w:rsidP="00003529">
      <w:pPr>
        <w:pStyle w:val="Title"/>
        <w:jc w:val="center"/>
      </w:pPr>
    </w:p>
    <w:p w:rsidR="008C617D" w:rsidRDefault="008C617D" w:rsidP="00003529">
      <w:pPr>
        <w:pStyle w:val="Title"/>
        <w:jc w:val="center"/>
      </w:pPr>
    </w:p>
    <w:p w:rsidR="008C617D" w:rsidRDefault="008C617D" w:rsidP="00003529">
      <w:pPr>
        <w:pStyle w:val="Title"/>
        <w:jc w:val="center"/>
      </w:pPr>
    </w:p>
    <w:p w:rsidR="008C617D" w:rsidRDefault="008C617D" w:rsidP="00003529">
      <w:pPr>
        <w:pStyle w:val="Title"/>
        <w:jc w:val="center"/>
      </w:pPr>
    </w:p>
    <w:p w:rsidR="00003529" w:rsidRPr="00003529" w:rsidRDefault="00003529" w:rsidP="00003529">
      <w:pPr>
        <w:pStyle w:val="Title"/>
        <w:jc w:val="center"/>
      </w:pPr>
      <w:r>
        <w:t>MOVES-Based Mobile Source Emissions Modeling for the Atlanta Nonattainment Area</w:t>
      </w:r>
      <w:r>
        <w:br w:type="page"/>
      </w:r>
    </w:p>
    <w:sdt>
      <w:sdtPr>
        <w:rPr>
          <w:rFonts w:asciiTheme="minorHAnsi" w:eastAsiaTheme="minorHAnsi" w:hAnsiTheme="minorHAnsi" w:cstheme="minorBidi"/>
          <w:b w:val="0"/>
          <w:bCs w:val="0"/>
          <w:color w:val="auto"/>
          <w:sz w:val="22"/>
          <w:szCs w:val="22"/>
        </w:rPr>
        <w:id w:val="54778507"/>
        <w:docPartObj>
          <w:docPartGallery w:val="Table of Contents"/>
          <w:docPartUnique/>
        </w:docPartObj>
      </w:sdtPr>
      <w:sdtContent>
        <w:p w:rsidR="00003529" w:rsidRDefault="00003529">
          <w:pPr>
            <w:pStyle w:val="TOCHeading"/>
          </w:pPr>
          <w:r>
            <w:t>Table of Contents</w:t>
          </w:r>
        </w:p>
        <w:p w:rsidR="00C21B97" w:rsidRDefault="000C7BE7">
          <w:pPr>
            <w:pStyle w:val="TOC1"/>
            <w:tabs>
              <w:tab w:val="right" w:leader="dot" w:pos="9350"/>
            </w:tabs>
            <w:rPr>
              <w:rFonts w:eastAsiaTheme="minorEastAsia"/>
              <w:noProof/>
            </w:rPr>
          </w:pPr>
          <w:r>
            <w:fldChar w:fldCharType="begin"/>
          </w:r>
          <w:r w:rsidR="00003529">
            <w:instrText xml:space="preserve"> TOC \o "1-3" \h \z \u </w:instrText>
          </w:r>
          <w:r>
            <w:fldChar w:fldCharType="separate"/>
          </w:r>
          <w:hyperlink w:anchor="_Toc307490331" w:history="1">
            <w:r w:rsidR="00C21B97" w:rsidRPr="007C3CB6">
              <w:rPr>
                <w:rStyle w:val="Hyperlink"/>
                <w:noProof/>
              </w:rPr>
              <w:t>Federal Clean Air Act Legislation and Transportation Conformity</w:t>
            </w:r>
            <w:r w:rsidR="00C21B97">
              <w:rPr>
                <w:noProof/>
                <w:webHidden/>
              </w:rPr>
              <w:tab/>
            </w:r>
            <w:r>
              <w:rPr>
                <w:noProof/>
                <w:webHidden/>
              </w:rPr>
              <w:fldChar w:fldCharType="begin"/>
            </w:r>
            <w:r w:rsidR="00C21B97">
              <w:rPr>
                <w:noProof/>
                <w:webHidden/>
              </w:rPr>
              <w:instrText xml:space="preserve"> PAGEREF _Toc307490331 \h </w:instrText>
            </w:r>
            <w:r>
              <w:rPr>
                <w:noProof/>
                <w:webHidden/>
              </w:rPr>
            </w:r>
            <w:r>
              <w:rPr>
                <w:noProof/>
                <w:webHidden/>
              </w:rPr>
              <w:fldChar w:fldCharType="separate"/>
            </w:r>
            <w:r w:rsidR="00C21B97">
              <w:rPr>
                <w:noProof/>
                <w:webHidden/>
              </w:rPr>
              <w:t>2</w:t>
            </w:r>
            <w:r>
              <w:rPr>
                <w:noProof/>
                <w:webHidden/>
              </w:rPr>
              <w:fldChar w:fldCharType="end"/>
            </w:r>
          </w:hyperlink>
        </w:p>
        <w:p w:rsidR="00C21B97" w:rsidRDefault="000C7BE7">
          <w:pPr>
            <w:pStyle w:val="TOC1"/>
            <w:tabs>
              <w:tab w:val="right" w:leader="dot" w:pos="9350"/>
            </w:tabs>
            <w:rPr>
              <w:rFonts w:eastAsiaTheme="minorEastAsia"/>
              <w:noProof/>
            </w:rPr>
          </w:pPr>
          <w:hyperlink w:anchor="_Toc307490332" w:history="1">
            <w:r w:rsidR="00C21B97" w:rsidRPr="007C3CB6">
              <w:rPr>
                <w:rStyle w:val="Hyperlink"/>
                <w:noProof/>
              </w:rPr>
              <w:t>Current Attainment Status</w:t>
            </w:r>
            <w:r w:rsidR="00C21B97">
              <w:rPr>
                <w:noProof/>
                <w:webHidden/>
              </w:rPr>
              <w:tab/>
            </w:r>
            <w:r>
              <w:rPr>
                <w:noProof/>
                <w:webHidden/>
              </w:rPr>
              <w:fldChar w:fldCharType="begin"/>
            </w:r>
            <w:r w:rsidR="00C21B97">
              <w:rPr>
                <w:noProof/>
                <w:webHidden/>
              </w:rPr>
              <w:instrText xml:space="preserve"> PAGEREF _Toc307490332 \h </w:instrText>
            </w:r>
            <w:r>
              <w:rPr>
                <w:noProof/>
                <w:webHidden/>
              </w:rPr>
            </w:r>
            <w:r>
              <w:rPr>
                <w:noProof/>
                <w:webHidden/>
              </w:rPr>
              <w:fldChar w:fldCharType="separate"/>
            </w:r>
            <w:r w:rsidR="00C21B97">
              <w:rPr>
                <w:noProof/>
                <w:webHidden/>
              </w:rPr>
              <w:t>4</w:t>
            </w:r>
            <w:r>
              <w:rPr>
                <w:noProof/>
                <w:webHidden/>
              </w:rPr>
              <w:fldChar w:fldCharType="end"/>
            </w:r>
          </w:hyperlink>
        </w:p>
        <w:p w:rsidR="00C21B97" w:rsidRDefault="000C7BE7">
          <w:pPr>
            <w:pStyle w:val="TOC2"/>
            <w:tabs>
              <w:tab w:val="right" w:leader="dot" w:pos="9350"/>
            </w:tabs>
            <w:rPr>
              <w:rFonts w:eastAsiaTheme="minorEastAsia"/>
              <w:noProof/>
            </w:rPr>
          </w:pPr>
          <w:hyperlink w:anchor="_Toc307490333" w:history="1">
            <w:r w:rsidR="00C21B97" w:rsidRPr="007C3CB6">
              <w:rPr>
                <w:rStyle w:val="Hyperlink"/>
                <w:noProof/>
              </w:rPr>
              <w:t>1997 Eight-Hour Ozone Standard</w:t>
            </w:r>
            <w:r w:rsidR="00C21B97">
              <w:rPr>
                <w:noProof/>
                <w:webHidden/>
              </w:rPr>
              <w:tab/>
            </w:r>
            <w:r>
              <w:rPr>
                <w:noProof/>
                <w:webHidden/>
              </w:rPr>
              <w:fldChar w:fldCharType="begin"/>
            </w:r>
            <w:r w:rsidR="00C21B97">
              <w:rPr>
                <w:noProof/>
                <w:webHidden/>
              </w:rPr>
              <w:instrText xml:space="preserve"> PAGEREF _Toc307490333 \h </w:instrText>
            </w:r>
            <w:r>
              <w:rPr>
                <w:noProof/>
                <w:webHidden/>
              </w:rPr>
            </w:r>
            <w:r>
              <w:rPr>
                <w:noProof/>
                <w:webHidden/>
              </w:rPr>
              <w:fldChar w:fldCharType="separate"/>
            </w:r>
            <w:r w:rsidR="00C21B97">
              <w:rPr>
                <w:noProof/>
                <w:webHidden/>
              </w:rPr>
              <w:t>4</w:t>
            </w:r>
            <w:r>
              <w:rPr>
                <w:noProof/>
                <w:webHidden/>
              </w:rPr>
              <w:fldChar w:fldCharType="end"/>
            </w:r>
          </w:hyperlink>
        </w:p>
        <w:p w:rsidR="00C21B97" w:rsidRDefault="000C7BE7">
          <w:pPr>
            <w:pStyle w:val="TOC2"/>
            <w:tabs>
              <w:tab w:val="right" w:leader="dot" w:pos="9350"/>
            </w:tabs>
            <w:rPr>
              <w:rFonts w:eastAsiaTheme="minorEastAsia"/>
              <w:noProof/>
            </w:rPr>
          </w:pPr>
          <w:hyperlink w:anchor="_Toc307490334" w:history="1">
            <w:r w:rsidR="00C21B97" w:rsidRPr="007C3CB6">
              <w:rPr>
                <w:rStyle w:val="Hyperlink"/>
                <w:noProof/>
              </w:rPr>
              <w:t>1997 Annual PM</w:t>
            </w:r>
            <w:r w:rsidR="00C21B97" w:rsidRPr="007C3CB6">
              <w:rPr>
                <w:rStyle w:val="Hyperlink"/>
                <w:noProof/>
                <w:vertAlign w:val="subscript"/>
              </w:rPr>
              <w:t>2.5</w:t>
            </w:r>
            <w:r w:rsidR="00C21B97" w:rsidRPr="007C3CB6">
              <w:rPr>
                <w:rStyle w:val="Hyperlink"/>
                <w:noProof/>
              </w:rPr>
              <w:t xml:space="preserve"> Standard</w:t>
            </w:r>
            <w:r w:rsidR="00C21B97">
              <w:rPr>
                <w:noProof/>
                <w:webHidden/>
              </w:rPr>
              <w:tab/>
            </w:r>
            <w:r>
              <w:rPr>
                <w:noProof/>
                <w:webHidden/>
              </w:rPr>
              <w:fldChar w:fldCharType="begin"/>
            </w:r>
            <w:r w:rsidR="00C21B97">
              <w:rPr>
                <w:noProof/>
                <w:webHidden/>
              </w:rPr>
              <w:instrText xml:space="preserve"> PAGEREF _Toc307490334 \h </w:instrText>
            </w:r>
            <w:r>
              <w:rPr>
                <w:noProof/>
                <w:webHidden/>
              </w:rPr>
            </w:r>
            <w:r>
              <w:rPr>
                <w:noProof/>
                <w:webHidden/>
              </w:rPr>
              <w:fldChar w:fldCharType="separate"/>
            </w:r>
            <w:r w:rsidR="00C21B97">
              <w:rPr>
                <w:noProof/>
                <w:webHidden/>
              </w:rPr>
              <w:t>4</w:t>
            </w:r>
            <w:r>
              <w:rPr>
                <w:noProof/>
                <w:webHidden/>
              </w:rPr>
              <w:fldChar w:fldCharType="end"/>
            </w:r>
          </w:hyperlink>
        </w:p>
        <w:p w:rsidR="00C21B97" w:rsidRDefault="000C7BE7">
          <w:pPr>
            <w:pStyle w:val="TOC1"/>
            <w:tabs>
              <w:tab w:val="right" w:leader="dot" w:pos="9350"/>
            </w:tabs>
            <w:rPr>
              <w:rFonts w:eastAsiaTheme="minorEastAsia"/>
              <w:noProof/>
            </w:rPr>
          </w:pPr>
          <w:hyperlink w:anchor="_Toc307490335" w:history="1">
            <w:r w:rsidR="00C21B97" w:rsidRPr="007C3CB6">
              <w:rPr>
                <w:rStyle w:val="Hyperlink"/>
                <w:noProof/>
              </w:rPr>
              <w:t>Modeling Assumptions</w:t>
            </w:r>
            <w:r w:rsidR="00C21B97">
              <w:rPr>
                <w:noProof/>
                <w:webHidden/>
              </w:rPr>
              <w:tab/>
            </w:r>
            <w:r>
              <w:rPr>
                <w:noProof/>
                <w:webHidden/>
              </w:rPr>
              <w:fldChar w:fldCharType="begin"/>
            </w:r>
            <w:r w:rsidR="00C21B97">
              <w:rPr>
                <w:noProof/>
                <w:webHidden/>
              </w:rPr>
              <w:instrText xml:space="preserve"> PAGEREF _Toc307490335 \h </w:instrText>
            </w:r>
            <w:r>
              <w:rPr>
                <w:noProof/>
                <w:webHidden/>
              </w:rPr>
            </w:r>
            <w:r>
              <w:rPr>
                <w:noProof/>
                <w:webHidden/>
              </w:rPr>
              <w:fldChar w:fldCharType="separate"/>
            </w:r>
            <w:r w:rsidR="00C21B97">
              <w:rPr>
                <w:noProof/>
                <w:webHidden/>
              </w:rPr>
              <w:t>6</w:t>
            </w:r>
            <w:r>
              <w:rPr>
                <w:noProof/>
                <w:webHidden/>
              </w:rPr>
              <w:fldChar w:fldCharType="end"/>
            </w:r>
          </w:hyperlink>
        </w:p>
        <w:p w:rsidR="00C21B97" w:rsidRDefault="000C7BE7">
          <w:pPr>
            <w:pStyle w:val="TOC2"/>
            <w:tabs>
              <w:tab w:val="right" w:leader="dot" w:pos="9350"/>
            </w:tabs>
            <w:rPr>
              <w:rFonts w:eastAsiaTheme="minorEastAsia"/>
              <w:noProof/>
            </w:rPr>
          </w:pPr>
          <w:hyperlink w:anchor="_Toc307490336" w:history="1">
            <w:r w:rsidR="00C21B97" w:rsidRPr="007C3CB6">
              <w:rPr>
                <w:rStyle w:val="Hyperlink"/>
                <w:noProof/>
              </w:rPr>
              <w:t>Emissions Modeling Assumptions</w:t>
            </w:r>
            <w:r w:rsidR="00C21B97">
              <w:rPr>
                <w:noProof/>
                <w:webHidden/>
              </w:rPr>
              <w:tab/>
            </w:r>
            <w:r>
              <w:rPr>
                <w:noProof/>
                <w:webHidden/>
              </w:rPr>
              <w:fldChar w:fldCharType="begin"/>
            </w:r>
            <w:r w:rsidR="00C21B97">
              <w:rPr>
                <w:noProof/>
                <w:webHidden/>
              </w:rPr>
              <w:instrText xml:space="preserve"> PAGEREF _Toc307490336 \h </w:instrText>
            </w:r>
            <w:r>
              <w:rPr>
                <w:noProof/>
                <w:webHidden/>
              </w:rPr>
            </w:r>
            <w:r>
              <w:rPr>
                <w:noProof/>
                <w:webHidden/>
              </w:rPr>
              <w:fldChar w:fldCharType="separate"/>
            </w:r>
            <w:r w:rsidR="00C21B97">
              <w:rPr>
                <w:noProof/>
                <w:webHidden/>
              </w:rPr>
              <w:t>6</w:t>
            </w:r>
            <w:r>
              <w:rPr>
                <w:noProof/>
                <w:webHidden/>
              </w:rPr>
              <w:fldChar w:fldCharType="end"/>
            </w:r>
          </w:hyperlink>
        </w:p>
        <w:p w:rsidR="00C21B97" w:rsidRDefault="000C7BE7">
          <w:pPr>
            <w:pStyle w:val="TOC2"/>
            <w:tabs>
              <w:tab w:val="right" w:leader="dot" w:pos="9350"/>
            </w:tabs>
            <w:rPr>
              <w:rFonts w:eastAsiaTheme="minorEastAsia"/>
              <w:noProof/>
            </w:rPr>
          </w:pPr>
          <w:hyperlink w:anchor="_Toc307490337" w:history="1">
            <w:r w:rsidR="00C21B97" w:rsidRPr="007C3CB6">
              <w:rPr>
                <w:rStyle w:val="Hyperlink"/>
                <w:noProof/>
              </w:rPr>
              <w:t>Travel Demand Modeling Assumptions</w:t>
            </w:r>
            <w:r w:rsidR="00C21B97">
              <w:rPr>
                <w:noProof/>
                <w:webHidden/>
              </w:rPr>
              <w:tab/>
            </w:r>
            <w:r>
              <w:rPr>
                <w:noProof/>
                <w:webHidden/>
              </w:rPr>
              <w:fldChar w:fldCharType="begin"/>
            </w:r>
            <w:r w:rsidR="00C21B97">
              <w:rPr>
                <w:noProof/>
                <w:webHidden/>
              </w:rPr>
              <w:instrText xml:space="preserve"> PAGEREF _Toc307490337 \h </w:instrText>
            </w:r>
            <w:r>
              <w:rPr>
                <w:noProof/>
                <w:webHidden/>
              </w:rPr>
            </w:r>
            <w:r>
              <w:rPr>
                <w:noProof/>
                <w:webHidden/>
              </w:rPr>
              <w:fldChar w:fldCharType="separate"/>
            </w:r>
            <w:r w:rsidR="00C21B97">
              <w:rPr>
                <w:noProof/>
                <w:webHidden/>
              </w:rPr>
              <w:t>6</w:t>
            </w:r>
            <w:r>
              <w:rPr>
                <w:noProof/>
                <w:webHidden/>
              </w:rPr>
              <w:fldChar w:fldCharType="end"/>
            </w:r>
          </w:hyperlink>
        </w:p>
        <w:p w:rsidR="00C21B97" w:rsidRDefault="000C7BE7">
          <w:pPr>
            <w:pStyle w:val="TOC3"/>
            <w:tabs>
              <w:tab w:val="right" w:leader="dot" w:pos="9350"/>
            </w:tabs>
            <w:rPr>
              <w:rFonts w:eastAsiaTheme="minorEastAsia"/>
              <w:noProof/>
            </w:rPr>
          </w:pPr>
          <w:hyperlink w:anchor="_Toc307490338" w:history="1">
            <w:r w:rsidR="00C21B97" w:rsidRPr="007C3CB6">
              <w:rPr>
                <w:rStyle w:val="Hyperlink"/>
                <w:noProof/>
              </w:rPr>
              <w:t>Travel Model Networks</w:t>
            </w:r>
            <w:r w:rsidR="00C21B97">
              <w:rPr>
                <w:noProof/>
                <w:webHidden/>
              </w:rPr>
              <w:tab/>
            </w:r>
            <w:r>
              <w:rPr>
                <w:noProof/>
                <w:webHidden/>
              </w:rPr>
              <w:fldChar w:fldCharType="begin"/>
            </w:r>
            <w:r w:rsidR="00C21B97">
              <w:rPr>
                <w:noProof/>
                <w:webHidden/>
              </w:rPr>
              <w:instrText xml:space="preserve"> PAGEREF _Toc307490338 \h </w:instrText>
            </w:r>
            <w:r>
              <w:rPr>
                <w:noProof/>
                <w:webHidden/>
              </w:rPr>
            </w:r>
            <w:r>
              <w:rPr>
                <w:noProof/>
                <w:webHidden/>
              </w:rPr>
              <w:fldChar w:fldCharType="separate"/>
            </w:r>
            <w:r w:rsidR="00C21B97">
              <w:rPr>
                <w:noProof/>
                <w:webHidden/>
              </w:rPr>
              <w:t>6</w:t>
            </w:r>
            <w:r>
              <w:rPr>
                <w:noProof/>
                <w:webHidden/>
              </w:rPr>
              <w:fldChar w:fldCharType="end"/>
            </w:r>
          </w:hyperlink>
        </w:p>
        <w:p w:rsidR="00C21B97" w:rsidRDefault="000C7BE7">
          <w:pPr>
            <w:pStyle w:val="TOC3"/>
            <w:tabs>
              <w:tab w:val="right" w:leader="dot" w:pos="9350"/>
            </w:tabs>
            <w:rPr>
              <w:rFonts w:eastAsiaTheme="minorEastAsia"/>
              <w:noProof/>
            </w:rPr>
          </w:pPr>
          <w:hyperlink w:anchor="_Toc307490339" w:history="1">
            <w:r w:rsidR="00C21B97" w:rsidRPr="007C3CB6">
              <w:rPr>
                <w:rStyle w:val="Hyperlink"/>
                <w:noProof/>
              </w:rPr>
              <w:t>Transit Modeling</w:t>
            </w:r>
            <w:r w:rsidR="00C21B97">
              <w:rPr>
                <w:noProof/>
                <w:webHidden/>
              </w:rPr>
              <w:tab/>
            </w:r>
            <w:r>
              <w:rPr>
                <w:noProof/>
                <w:webHidden/>
              </w:rPr>
              <w:fldChar w:fldCharType="begin"/>
            </w:r>
            <w:r w:rsidR="00C21B97">
              <w:rPr>
                <w:noProof/>
                <w:webHidden/>
              </w:rPr>
              <w:instrText xml:space="preserve"> PAGEREF _Toc307490339 \h </w:instrText>
            </w:r>
            <w:r>
              <w:rPr>
                <w:noProof/>
                <w:webHidden/>
              </w:rPr>
            </w:r>
            <w:r>
              <w:rPr>
                <w:noProof/>
                <w:webHidden/>
              </w:rPr>
              <w:fldChar w:fldCharType="separate"/>
            </w:r>
            <w:r w:rsidR="00C21B97">
              <w:rPr>
                <w:noProof/>
                <w:webHidden/>
              </w:rPr>
              <w:t>8</w:t>
            </w:r>
            <w:r>
              <w:rPr>
                <w:noProof/>
                <w:webHidden/>
              </w:rPr>
              <w:fldChar w:fldCharType="end"/>
            </w:r>
          </w:hyperlink>
        </w:p>
        <w:p w:rsidR="00C21B97" w:rsidRDefault="000C7BE7">
          <w:pPr>
            <w:pStyle w:val="TOC1"/>
            <w:tabs>
              <w:tab w:val="right" w:leader="dot" w:pos="9350"/>
            </w:tabs>
            <w:rPr>
              <w:rFonts w:eastAsiaTheme="minorEastAsia"/>
              <w:noProof/>
            </w:rPr>
          </w:pPr>
          <w:hyperlink w:anchor="_Toc307490340" w:history="1">
            <w:r w:rsidR="00C21B97" w:rsidRPr="007C3CB6">
              <w:rPr>
                <w:rStyle w:val="Hyperlink"/>
                <w:noProof/>
              </w:rPr>
              <w:t>MOVES Overview</w:t>
            </w:r>
            <w:r w:rsidR="00C21B97">
              <w:rPr>
                <w:noProof/>
                <w:webHidden/>
              </w:rPr>
              <w:tab/>
            </w:r>
            <w:r>
              <w:rPr>
                <w:noProof/>
                <w:webHidden/>
              </w:rPr>
              <w:fldChar w:fldCharType="begin"/>
            </w:r>
            <w:r w:rsidR="00C21B97">
              <w:rPr>
                <w:noProof/>
                <w:webHidden/>
              </w:rPr>
              <w:instrText xml:space="preserve"> PAGEREF _Toc307490340 \h </w:instrText>
            </w:r>
            <w:r>
              <w:rPr>
                <w:noProof/>
                <w:webHidden/>
              </w:rPr>
            </w:r>
            <w:r>
              <w:rPr>
                <w:noProof/>
                <w:webHidden/>
              </w:rPr>
              <w:fldChar w:fldCharType="separate"/>
            </w:r>
            <w:r w:rsidR="00C21B97">
              <w:rPr>
                <w:noProof/>
                <w:webHidden/>
              </w:rPr>
              <w:t>10</w:t>
            </w:r>
            <w:r>
              <w:rPr>
                <w:noProof/>
                <w:webHidden/>
              </w:rPr>
              <w:fldChar w:fldCharType="end"/>
            </w:r>
          </w:hyperlink>
        </w:p>
        <w:p w:rsidR="00C21B97" w:rsidRDefault="000C7BE7">
          <w:pPr>
            <w:pStyle w:val="TOC1"/>
            <w:tabs>
              <w:tab w:val="right" w:leader="dot" w:pos="9350"/>
            </w:tabs>
            <w:rPr>
              <w:rFonts w:eastAsiaTheme="minorEastAsia"/>
              <w:noProof/>
            </w:rPr>
          </w:pPr>
          <w:hyperlink w:anchor="_Toc307490341" w:history="1">
            <w:r w:rsidR="00C21B97" w:rsidRPr="007C3CB6">
              <w:rPr>
                <w:rStyle w:val="Hyperlink"/>
                <w:noProof/>
              </w:rPr>
              <w:t>MOVES Input Development – Travel Demand Post Processing Procedures</w:t>
            </w:r>
            <w:r w:rsidR="00C21B97">
              <w:rPr>
                <w:noProof/>
                <w:webHidden/>
              </w:rPr>
              <w:tab/>
            </w:r>
            <w:r>
              <w:rPr>
                <w:noProof/>
                <w:webHidden/>
              </w:rPr>
              <w:fldChar w:fldCharType="begin"/>
            </w:r>
            <w:r w:rsidR="00C21B97">
              <w:rPr>
                <w:noProof/>
                <w:webHidden/>
              </w:rPr>
              <w:instrText xml:space="preserve"> PAGEREF _Toc307490341 \h </w:instrText>
            </w:r>
            <w:r>
              <w:rPr>
                <w:noProof/>
                <w:webHidden/>
              </w:rPr>
            </w:r>
            <w:r>
              <w:rPr>
                <w:noProof/>
                <w:webHidden/>
              </w:rPr>
              <w:fldChar w:fldCharType="separate"/>
            </w:r>
            <w:r w:rsidR="00C21B97">
              <w:rPr>
                <w:noProof/>
                <w:webHidden/>
              </w:rPr>
              <w:t>12</w:t>
            </w:r>
            <w:r>
              <w:rPr>
                <w:noProof/>
                <w:webHidden/>
              </w:rPr>
              <w:fldChar w:fldCharType="end"/>
            </w:r>
          </w:hyperlink>
        </w:p>
        <w:p w:rsidR="00C21B97" w:rsidRDefault="000C7BE7">
          <w:pPr>
            <w:pStyle w:val="TOC2"/>
            <w:tabs>
              <w:tab w:val="right" w:leader="dot" w:pos="9350"/>
            </w:tabs>
            <w:rPr>
              <w:rFonts w:eastAsiaTheme="minorEastAsia"/>
              <w:noProof/>
            </w:rPr>
          </w:pPr>
          <w:hyperlink w:anchor="_Toc307490342" w:history="1">
            <w:r w:rsidR="00C21B97" w:rsidRPr="007C3CB6">
              <w:rPr>
                <w:rStyle w:val="Hyperlink"/>
                <w:noProof/>
              </w:rPr>
              <w:t>VMT Adjustment Factors</w:t>
            </w:r>
            <w:r w:rsidR="00C21B97">
              <w:rPr>
                <w:noProof/>
                <w:webHidden/>
              </w:rPr>
              <w:tab/>
            </w:r>
            <w:r>
              <w:rPr>
                <w:noProof/>
                <w:webHidden/>
              </w:rPr>
              <w:fldChar w:fldCharType="begin"/>
            </w:r>
            <w:r w:rsidR="00C21B97">
              <w:rPr>
                <w:noProof/>
                <w:webHidden/>
              </w:rPr>
              <w:instrText xml:space="preserve"> PAGEREF _Toc307490342 \h </w:instrText>
            </w:r>
            <w:r>
              <w:rPr>
                <w:noProof/>
                <w:webHidden/>
              </w:rPr>
            </w:r>
            <w:r>
              <w:rPr>
                <w:noProof/>
                <w:webHidden/>
              </w:rPr>
              <w:fldChar w:fldCharType="separate"/>
            </w:r>
            <w:r w:rsidR="00C21B97">
              <w:rPr>
                <w:noProof/>
                <w:webHidden/>
              </w:rPr>
              <w:t>12</w:t>
            </w:r>
            <w:r>
              <w:rPr>
                <w:noProof/>
                <w:webHidden/>
              </w:rPr>
              <w:fldChar w:fldCharType="end"/>
            </w:r>
          </w:hyperlink>
        </w:p>
        <w:p w:rsidR="00C21B97" w:rsidRDefault="000C7BE7">
          <w:pPr>
            <w:pStyle w:val="TOC2"/>
            <w:tabs>
              <w:tab w:val="right" w:leader="dot" w:pos="9350"/>
            </w:tabs>
            <w:rPr>
              <w:rFonts w:eastAsiaTheme="minorEastAsia"/>
              <w:noProof/>
            </w:rPr>
          </w:pPr>
          <w:hyperlink w:anchor="_Toc307490343" w:history="1">
            <w:r w:rsidR="00C21B97" w:rsidRPr="007C3CB6">
              <w:rPr>
                <w:rStyle w:val="Hyperlink"/>
                <w:noProof/>
              </w:rPr>
              <w:t>Network Refinements</w:t>
            </w:r>
            <w:r w:rsidR="00C21B97">
              <w:rPr>
                <w:noProof/>
                <w:webHidden/>
              </w:rPr>
              <w:tab/>
            </w:r>
            <w:r>
              <w:rPr>
                <w:noProof/>
                <w:webHidden/>
              </w:rPr>
              <w:fldChar w:fldCharType="begin"/>
            </w:r>
            <w:r w:rsidR="00C21B97">
              <w:rPr>
                <w:noProof/>
                <w:webHidden/>
              </w:rPr>
              <w:instrText xml:space="preserve"> PAGEREF _Toc307490343 \h </w:instrText>
            </w:r>
            <w:r>
              <w:rPr>
                <w:noProof/>
                <w:webHidden/>
              </w:rPr>
            </w:r>
            <w:r>
              <w:rPr>
                <w:noProof/>
                <w:webHidden/>
              </w:rPr>
              <w:fldChar w:fldCharType="separate"/>
            </w:r>
            <w:r w:rsidR="00C21B97">
              <w:rPr>
                <w:noProof/>
                <w:webHidden/>
              </w:rPr>
              <w:t>14</w:t>
            </w:r>
            <w:r>
              <w:rPr>
                <w:noProof/>
                <w:webHidden/>
              </w:rPr>
              <w:fldChar w:fldCharType="end"/>
            </w:r>
          </w:hyperlink>
        </w:p>
        <w:p w:rsidR="00C21B97" w:rsidRDefault="000C7BE7">
          <w:pPr>
            <w:pStyle w:val="TOC2"/>
            <w:tabs>
              <w:tab w:val="right" w:leader="dot" w:pos="9350"/>
            </w:tabs>
            <w:rPr>
              <w:rFonts w:eastAsiaTheme="minorEastAsia"/>
              <w:noProof/>
            </w:rPr>
          </w:pPr>
          <w:hyperlink w:anchor="_Toc307490344" w:history="1">
            <w:r w:rsidR="00C21B97" w:rsidRPr="007C3CB6">
              <w:rPr>
                <w:rStyle w:val="Hyperlink"/>
                <w:noProof/>
              </w:rPr>
              <w:t>VMT by Hour</w:t>
            </w:r>
            <w:r w:rsidR="00C21B97">
              <w:rPr>
                <w:noProof/>
                <w:webHidden/>
              </w:rPr>
              <w:tab/>
            </w:r>
            <w:r>
              <w:rPr>
                <w:noProof/>
                <w:webHidden/>
              </w:rPr>
              <w:fldChar w:fldCharType="begin"/>
            </w:r>
            <w:r w:rsidR="00C21B97">
              <w:rPr>
                <w:noProof/>
                <w:webHidden/>
              </w:rPr>
              <w:instrText xml:space="preserve"> PAGEREF _Toc307490344 \h </w:instrText>
            </w:r>
            <w:r>
              <w:rPr>
                <w:noProof/>
                <w:webHidden/>
              </w:rPr>
            </w:r>
            <w:r>
              <w:rPr>
                <w:noProof/>
                <w:webHidden/>
              </w:rPr>
              <w:fldChar w:fldCharType="separate"/>
            </w:r>
            <w:r w:rsidR="00C21B97">
              <w:rPr>
                <w:noProof/>
                <w:webHidden/>
              </w:rPr>
              <w:t>15</w:t>
            </w:r>
            <w:r>
              <w:rPr>
                <w:noProof/>
                <w:webHidden/>
              </w:rPr>
              <w:fldChar w:fldCharType="end"/>
            </w:r>
          </w:hyperlink>
        </w:p>
        <w:p w:rsidR="00C21B97" w:rsidRDefault="000C7BE7">
          <w:pPr>
            <w:pStyle w:val="TOC2"/>
            <w:tabs>
              <w:tab w:val="right" w:leader="dot" w:pos="9350"/>
            </w:tabs>
            <w:rPr>
              <w:rFonts w:eastAsiaTheme="minorEastAsia"/>
              <w:noProof/>
            </w:rPr>
          </w:pPr>
          <w:hyperlink w:anchor="_Toc307490345" w:history="1">
            <w:r w:rsidR="00C21B97" w:rsidRPr="007C3CB6">
              <w:rPr>
                <w:rStyle w:val="Hyperlink"/>
                <w:noProof/>
              </w:rPr>
              <w:t>Roadtype Classification</w:t>
            </w:r>
            <w:r w:rsidR="00C21B97">
              <w:rPr>
                <w:noProof/>
                <w:webHidden/>
              </w:rPr>
              <w:tab/>
            </w:r>
            <w:r>
              <w:rPr>
                <w:noProof/>
                <w:webHidden/>
              </w:rPr>
              <w:fldChar w:fldCharType="begin"/>
            </w:r>
            <w:r w:rsidR="00C21B97">
              <w:rPr>
                <w:noProof/>
                <w:webHidden/>
              </w:rPr>
              <w:instrText xml:space="preserve"> PAGEREF _Toc307490345 \h </w:instrText>
            </w:r>
            <w:r>
              <w:rPr>
                <w:noProof/>
                <w:webHidden/>
              </w:rPr>
            </w:r>
            <w:r>
              <w:rPr>
                <w:noProof/>
                <w:webHidden/>
              </w:rPr>
              <w:fldChar w:fldCharType="separate"/>
            </w:r>
            <w:r w:rsidR="00C21B97">
              <w:rPr>
                <w:noProof/>
                <w:webHidden/>
              </w:rPr>
              <w:t>15</w:t>
            </w:r>
            <w:r>
              <w:rPr>
                <w:noProof/>
                <w:webHidden/>
              </w:rPr>
              <w:fldChar w:fldCharType="end"/>
            </w:r>
          </w:hyperlink>
        </w:p>
        <w:p w:rsidR="00C21B97" w:rsidRDefault="000C7BE7">
          <w:pPr>
            <w:pStyle w:val="TOC1"/>
            <w:tabs>
              <w:tab w:val="right" w:leader="dot" w:pos="9350"/>
            </w:tabs>
            <w:rPr>
              <w:rFonts w:eastAsiaTheme="minorEastAsia"/>
              <w:noProof/>
            </w:rPr>
          </w:pPr>
          <w:hyperlink w:anchor="_Toc307490346" w:history="1">
            <w:r w:rsidR="00C21B97" w:rsidRPr="007C3CB6">
              <w:rPr>
                <w:rStyle w:val="Hyperlink"/>
                <w:noProof/>
              </w:rPr>
              <w:t>MOVES County Data Manger Input Files</w:t>
            </w:r>
            <w:r w:rsidR="00C21B97">
              <w:rPr>
                <w:noProof/>
                <w:webHidden/>
              </w:rPr>
              <w:tab/>
            </w:r>
            <w:r>
              <w:rPr>
                <w:noProof/>
                <w:webHidden/>
              </w:rPr>
              <w:fldChar w:fldCharType="begin"/>
            </w:r>
            <w:r w:rsidR="00C21B97">
              <w:rPr>
                <w:noProof/>
                <w:webHidden/>
              </w:rPr>
              <w:instrText xml:space="preserve"> PAGEREF _Toc307490346 \h </w:instrText>
            </w:r>
            <w:r>
              <w:rPr>
                <w:noProof/>
                <w:webHidden/>
              </w:rPr>
            </w:r>
            <w:r>
              <w:rPr>
                <w:noProof/>
                <w:webHidden/>
              </w:rPr>
              <w:fldChar w:fldCharType="separate"/>
            </w:r>
            <w:r w:rsidR="00C21B97">
              <w:rPr>
                <w:noProof/>
                <w:webHidden/>
              </w:rPr>
              <w:t>17</w:t>
            </w:r>
            <w:r>
              <w:rPr>
                <w:noProof/>
                <w:webHidden/>
              </w:rPr>
              <w:fldChar w:fldCharType="end"/>
            </w:r>
          </w:hyperlink>
        </w:p>
        <w:p w:rsidR="00C21B97" w:rsidRDefault="000C7BE7">
          <w:pPr>
            <w:pStyle w:val="TOC2"/>
            <w:tabs>
              <w:tab w:val="right" w:leader="dot" w:pos="9350"/>
            </w:tabs>
            <w:rPr>
              <w:rFonts w:eastAsiaTheme="minorEastAsia"/>
              <w:noProof/>
            </w:rPr>
          </w:pPr>
          <w:hyperlink w:anchor="_Toc307490347" w:history="1">
            <w:r w:rsidR="00C21B97" w:rsidRPr="007C3CB6">
              <w:rPr>
                <w:rStyle w:val="Hyperlink"/>
                <w:noProof/>
              </w:rPr>
              <w:t>Age Distribution</w:t>
            </w:r>
            <w:r w:rsidR="00C21B97">
              <w:rPr>
                <w:noProof/>
                <w:webHidden/>
              </w:rPr>
              <w:tab/>
            </w:r>
            <w:r>
              <w:rPr>
                <w:noProof/>
                <w:webHidden/>
              </w:rPr>
              <w:fldChar w:fldCharType="begin"/>
            </w:r>
            <w:r w:rsidR="00C21B97">
              <w:rPr>
                <w:noProof/>
                <w:webHidden/>
              </w:rPr>
              <w:instrText xml:space="preserve"> PAGEREF _Toc307490347 \h </w:instrText>
            </w:r>
            <w:r>
              <w:rPr>
                <w:noProof/>
                <w:webHidden/>
              </w:rPr>
            </w:r>
            <w:r>
              <w:rPr>
                <w:noProof/>
                <w:webHidden/>
              </w:rPr>
              <w:fldChar w:fldCharType="separate"/>
            </w:r>
            <w:r w:rsidR="00C21B97">
              <w:rPr>
                <w:noProof/>
                <w:webHidden/>
              </w:rPr>
              <w:t>17</w:t>
            </w:r>
            <w:r>
              <w:rPr>
                <w:noProof/>
                <w:webHidden/>
              </w:rPr>
              <w:fldChar w:fldCharType="end"/>
            </w:r>
          </w:hyperlink>
        </w:p>
        <w:p w:rsidR="00C21B97" w:rsidRDefault="000C7BE7">
          <w:pPr>
            <w:pStyle w:val="TOC2"/>
            <w:tabs>
              <w:tab w:val="right" w:leader="dot" w:pos="9350"/>
            </w:tabs>
            <w:rPr>
              <w:rFonts w:eastAsiaTheme="minorEastAsia"/>
              <w:noProof/>
            </w:rPr>
          </w:pPr>
          <w:hyperlink w:anchor="_Toc307490348" w:history="1">
            <w:r w:rsidR="00C21B97" w:rsidRPr="007C3CB6">
              <w:rPr>
                <w:rStyle w:val="Hyperlink"/>
                <w:noProof/>
              </w:rPr>
              <w:t>Average Speed Distribution</w:t>
            </w:r>
            <w:r w:rsidR="00C21B97">
              <w:rPr>
                <w:noProof/>
                <w:webHidden/>
              </w:rPr>
              <w:tab/>
            </w:r>
            <w:r>
              <w:rPr>
                <w:noProof/>
                <w:webHidden/>
              </w:rPr>
              <w:fldChar w:fldCharType="begin"/>
            </w:r>
            <w:r w:rsidR="00C21B97">
              <w:rPr>
                <w:noProof/>
                <w:webHidden/>
              </w:rPr>
              <w:instrText xml:space="preserve"> PAGEREF _Toc307490348 \h </w:instrText>
            </w:r>
            <w:r>
              <w:rPr>
                <w:noProof/>
                <w:webHidden/>
              </w:rPr>
            </w:r>
            <w:r>
              <w:rPr>
                <w:noProof/>
                <w:webHidden/>
              </w:rPr>
              <w:fldChar w:fldCharType="separate"/>
            </w:r>
            <w:r w:rsidR="00C21B97">
              <w:rPr>
                <w:noProof/>
                <w:webHidden/>
              </w:rPr>
              <w:t>17</w:t>
            </w:r>
            <w:r>
              <w:rPr>
                <w:noProof/>
                <w:webHidden/>
              </w:rPr>
              <w:fldChar w:fldCharType="end"/>
            </w:r>
          </w:hyperlink>
        </w:p>
        <w:p w:rsidR="00C21B97" w:rsidRDefault="000C7BE7">
          <w:pPr>
            <w:pStyle w:val="TOC2"/>
            <w:tabs>
              <w:tab w:val="right" w:leader="dot" w:pos="9350"/>
            </w:tabs>
            <w:rPr>
              <w:rFonts w:eastAsiaTheme="minorEastAsia"/>
              <w:noProof/>
            </w:rPr>
          </w:pPr>
          <w:hyperlink w:anchor="_Toc307490349" w:history="1">
            <w:r w:rsidR="00C21B97" w:rsidRPr="007C3CB6">
              <w:rPr>
                <w:rStyle w:val="Hyperlink"/>
                <w:noProof/>
              </w:rPr>
              <w:t>Fuel</w:t>
            </w:r>
            <w:r w:rsidR="00C21B97">
              <w:rPr>
                <w:noProof/>
                <w:webHidden/>
              </w:rPr>
              <w:tab/>
            </w:r>
            <w:r>
              <w:rPr>
                <w:noProof/>
                <w:webHidden/>
              </w:rPr>
              <w:fldChar w:fldCharType="begin"/>
            </w:r>
            <w:r w:rsidR="00C21B97">
              <w:rPr>
                <w:noProof/>
                <w:webHidden/>
              </w:rPr>
              <w:instrText xml:space="preserve"> PAGEREF _Toc307490349 \h </w:instrText>
            </w:r>
            <w:r>
              <w:rPr>
                <w:noProof/>
                <w:webHidden/>
              </w:rPr>
            </w:r>
            <w:r>
              <w:rPr>
                <w:noProof/>
                <w:webHidden/>
              </w:rPr>
              <w:fldChar w:fldCharType="separate"/>
            </w:r>
            <w:r w:rsidR="00C21B97">
              <w:rPr>
                <w:noProof/>
                <w:webHidden/>
              </w:rPr>
              <w:t>18</w:t>
            </w:r>
            <w:r>
              <w:rPr>
                <w:noProof/>
                <w:webHidden/>
              </w:rPr>
              <w:fldChar w:fldCharType="end"/>
            </w:r>
          </w:hyperlink>
        </w:p>
        <w:p w:rsidR="00C21B97" w:rsidRDefault="000C7BE7">
          <w:pPr>
            <w:pStyle w:val="TOC2"/>
            <w:tabs>
              <w:tab w:val="right" w:leader="dot" w:pos="9350"/>
            </w:tabs>
            <w:rPr>
              <w:rFonts w:eastAsiaTheme="minorEastAsia"/>
              <w:noProof/>
            </w:rPr>
          </w:pPr>
          <w:hyperlink w:anchor="_Toc307490350" w:history="1">
            <w:r w:rsidR="00C21B97" w:rsidRPr="007C3CB6">
              <w:rPr>
                <w:rStyle w:val="Hyperlink"/>
                <w:noProof/>
              </w:rPr>
              <w:t>I/M Program</w:t>
            </w:r>
            <w:r w:rsidR="00C21B97">
              <w:rPr>
                <w:noProof/>
                <w:webHidden/>
              </w:rPr>
              <w:tab/>
            </w:r>
            <w:r>
              <w:rPr>
                <w:noProof/>
                <w:webHidden/>
              </w:rPr>
              <w:fldChar w:fldCharType="begin"/>
            </w:r>
            <w:r w:rsidR="00C21B97">
              <w:rPr>
                <w:noProof/>
                <w:webHidden/>
              </w:rPr>
              <w:instrText xml:space="preserve"> PAGEREF _Toc307490350 \h </w:instrText>
            </w:r>
            <w:r>
              <w:rPr>
                <w:noProof/>
                <w:webHidden/>
              </w:rPr>
            </w:r>
            <w:r>
              <w:rPr>
                <w:noProof/>
                <w:webHidden/>
              </w:rPr>
              <w:fldChar w:fldCharType="separate"/>
            </w:r>
            <w:r w:rsidR="00C21B97">
              <w:rPr>
                <w:noProof/>
                <w:webHidden/>
              </w:rPr>
              <w:t>18</w:t>
            </w:r>
            <w:r>
              <w:rPr>
                <w:noProof/>
                <w:webHidden/>
              </w:rPr>
              <w:fldChar w:fldCharType="end"/>
            </w:r>
          </w:hyperlink>
        </w:p>
        <w:p w:rsidR="00C21B97" w:rsidRDefault="000C7BE7">
          <w:pPr>
            <w:pStyle w:val="TOC2"/>
            <w:tabs>
              <w:tab w:val="right" w:leader="dot" w:pos="9350"/>
            </w:tabs>
            <w:rPr>
              <w:rFonts w:eastAsiaTheme="minorEastAsia"/>
              <w:noProof/>
            </w:rPr>
          </w:pPr>
          <w:hyperlink w:anchor="_Toc307490351" w:history="1">
            <w:r w:rsidR="00C21B97" w:rsidRPr="007C3CB6">
              <w:rPr>
                <w:rStyle w:val="Hyperlink"/>
                <w:noProof/>
              </w:rPr>
              <w:t>Meteorology</w:t>
            </w:r>
            <w:r w:rsidR="00C21B97">
              <w:rPr>
                <w:noProof/>
                <w:webHidden/>
              </w:rPr>
              <w:tab/>
            </w:r>
            <w:r>
              <w:rPr>
                <w:noProof/>
                <w:webHidden/>
              </w:rPr>
              <w:fldChar w:fldCharType="begin"/>
            </w:r>
            <w:r w:rsidR="00C21B97">
              <w:rPr>
                <w:noProof/>
                <w:webHidden/>
              </w:rPr>
              <w:instrText xml:space="preserve"> PAGEREF _Toc307490351 \h </w:instrText>
            </w:r>
            <w:r>
              <w:rPr>
                <w:noProof/>
                <w:webHidden/>
              </w:rPr>
            </w:r>
            <w:r>
              <w:rPr>
                <w:noProof/>
                <w:webHidden/>
              </w:rPr>
              <w:fldChar w:fldCharType="separate"/>
            </w:r>
            <w:r w:rsidR="00C21B97">
              <w:rPr>
                <w:noProof/>
                <w:webHidden/>
              </w:rPr>
              <w:t>19</w:t>
            </w:r>
            <w:r>
              <w:rPr>
                <w:noProof/>
                <w:webHidden/>
              </w:rPr>
              <w:fldChar w:fldCharType="end"/>
            </w:r>
          </w:hyperlink>
        </w:p>
        <w:p w:rsidR="00C21B97" w:rsidRDefault="000C7BE7">
          <w:pPr>
            <w:pStyle w:val="TOC2"/>
            <w:tabs>
              <w:tab w:val="right" w:leader="dot" w:pos="9350"/>
            </w:tabs>
            <w:rPr>
              <w:rFonts w:eastAsiaTheme="minorEastAsia"/>
              <w:noProof/>
            </w:rPr>
          </w:pPr>
          <w:hyperlink w:anchor="_Toc307490352" w:history="1">
            <w:r w:rsidR="00C21B97" w:rsidRPr="007C3CB6">
              <w:rPr>
                <w:rStyle w:val="Hyperlink"/>
                <w:noProof/>
              </w:rPr>
              <w:t>Ramp Fraction</w:t>
            </w:r>
            <w:r w:rsidR="00C21B97">
              <w:rPr>
                <w:noProof/>
                <w:webHidden/>
              </w:rPr>
              <w:tab/>
            </w:r>
            <w:r>
              <w:rPr>
                <w:noProof/>
                <w:webHidden/>
              </w:rPr>
              <w:fldChar w:fldCharType="begin"/>
            </w:r>
            <w:r w:rsidR="00C21B97">
              <w:rPr>
                <w:noProof/>
                <w:webHidden/>
              </w:rPr>
              <w:instrText xml:space="preserve"> PAGEREF _Toc307490352 \h </w:instrText>
            </w:r>
            <w:r>
              <w:rPr>
                <w:noProof/>
                <w:webHidden/>
              </w:rPr>
            </w:r>
            <w:r>
              <w:rPr>
                <w:noProof/>
                <w:webHidden/>
              </w:rPr>
              <w:fldChar w:fldCharType="separate"/>
            </w:r>
            <w:r w:rsidR="00C21B97">
              <w:rPr>
                <w:noProof/>
                <w:webHidden/>
              </w:rPr>
              <w:t>19</w:t>
            </w:r>
            <w:r>
              <w:rPr>
                <w:noProof/>
                <w:webHidden/>
              </w:rPr>
              <w:fldChar w:fldCharType="end"/>
            </w:r>
          </w:hyperlink>
        </w:p>
        <w:p w:rsidR="00C21B97" w:rsidRDefault="000C7BE7">
          <w:pPr>
            <w:pStyle w:val="TOC2"/>
            <w:tabs>
              <w:tab w:val="right" w:leader="dot" w:pos="9350"/>
            </w:tabs>
            <w:rPr>
              <w:rFonts w:eastAsiaTheme="minorEastAsia"/>
              <w:noProof/>
            </w:rPr>
          </w:pPr>
          <w:hyperlink w:anchor="_Toc307490353" w:history="1">
            <w:r w:rsidR="00C21B97" w:rsidRPr="007C3CB6">
              <w:rPr>
                <w:rStyle w:val="Hyperlink"/>
                <w:noProof/>
              </w:rPr>
              <w:t>Road Type Distribution</w:t>
            </w:r>
            <w:r w:rsidR="00C21B97">
              <w:rPr>
                <w:noProof/>
                <w:webHidden/>
              </w:rPr>
              <w:tab/>
            </w:r>
            <w:r>
              <w:rPr>
                <w:noProof/>
                <w:webHidden/>
              </w:rPr>
              <w:fldChar w:fldCharType="begin"/>
            </w:r>
            <w:r w:rsidR="00C21B97">
              <w:rPr>
                <w:noProof/>
                <w:webHidden/>
              </w:rPr>
              <w:instrText xml:space="preserve"> PAGEREF _Toc307490353 \h </w:instrText>
            </w:r>
            <w:r>
              <w:rPr>
                <w:noProof/>
                <w:webHidden/>
              </w:rPr>
            </w:r>
            <w:r>
              <w:rPr>
                <w:noProof/>
                <w:webHidden/>
              </w:rPr>
              <w:fldChar w:fldCharType="separate"/>
            </w:r>
            <w:r w:rsidR="00C21B97">
              <w:rPr>
                <w:noProof/>
                <w:webHidden/>
              </w:rPr>
              <w:t>19</w:t>
            </w:r>
            <w:r>
              <w:rPr>
                <w:noProof/>
                <w:webHidden/>
              </w:rPr>
              <w:fldChar w:fldCharType="end"/>
            </w:r>
          </w:hyperlink>
        </w:p>
        <w:p w:rsidR="00C21B97" w:rsidRDefault="000C7BE7">
          <w:pPr>
            <w:pStyle w:val="TOC2"/>
            <w:tabs>
              <w:tab w:val="right" w:leader="dot" w:pos="9350"/>
            </w:tabs>
            <w:rPr>
              <w:rFonts w:eastAsiaTheme="minorEastAsia"/>
              <w:noProof/>
            </w:rPr>
          </w:pPr>
          <w:hyperlink w:anchor="_Toc307490354" w:history="1">
            <w:r w:rsidR="00C21B97" w:rsidRPr="007C3CB6">
              <w:rPr>
                <w:rStyle w:val="Hyperlink"/>
                <w:noProof/>
              </w:rPr>
              <w:t>Source Type Population</w:t>
            </w:r>
            <w:r w:rsidR="00C21B97">
              <w:rPr>
                <w:noProof/>
                <w:webHidden/>
              </w:rPr>
              <w:tab/>
            </w:r>
            <w:r>
              <w:rPr>
                <w:noProof/>
                <w:webHidden/>
              </w:rPr>
              <w:fldChar w:fldCharType="begin"/>
            </w:r>
            <w:r w:rsidR="00C21B97">
              <w:rPr>
                <w:noProof/>
                <w:webHidden/>
              </w:rPr>
              <w:instrText xml:space="preserve"> PAGEREF _Toc307490354 \h </w:instrText>
            </w:r>
            <w:r>
              <w:rPr>
                <w:noProof/>
                <w:webHidden/>
              </w:rPr>
            </w:r>
            <w:r>
              <w:rPr>
                <w:noProof/>
                <w:webHidden/>
              </w:rPr>
              <w:fldChar w:fldCharType="separate"/>
            </w:r>
            <w:r w:rsidR="00C21B97">
              <w:rPr>
                <w:noProof/>
                <w:webHidden/>
              </w:rPr>
              <w:t>19</w:t>
            </w:r>
            <w:r>
              <w:rPr>
                <w:noProof/>
                <w:webHidden/>
              </w:rPr>
              <w:fldChar w:fldCharType="end"/>
            </w:r>
          </w:hyperlink>
        </w:p>
        <w:p w:rsidR="00C21B97" w:rsidRDefault="000C7BE7">
          <w:pPr>
            <w:pStyle w:val="TOC2"/>
            <w:tabs>
              <w:tab w:val="right" w:leader="dot" w:pos="9350"/>
            </w:tabs>
            <w:rPr>
              <w:rFonts w:eastAsiaTheme="minorEastAsia"/>
              <w:noProof/>
            </w:rPr>
          </w:pPr>
          <w:hyperlink w:anchor="_Toc307490355" w:history="1">
            <w:r w:rsidR="00C21B97" w:rsidRPr="007C3CB6">
              <w:rPr>
                <w:rStyle w:val="Hyperlink"/>
                <w:noProof/>
              </w:rPr>
              <w:t>Vehicle Type VMT</w:t>
            </w:r>
            <w:r w:rsidR="00C21B97">
              <w:rPr>
                <w:noProof/>
                <w:webHidden/>
              </w:rPr>
              <w:tab/>
            </w:r>
            <w:r>
              <w:rPr>
                <w:noProof/>
                <w:webHidden/>
              </w:rPr>
              <w:fldChar w:fldCharType="begin"/>
            </w:r>
            <w:r w:rsidR="00C21B97">
              <w:rPr>
                <w:noProof/>
                <w:webHidden/>
              </w:rPr>
              <w:instrText xml:space="preserve"> PAGEREF _Toc307490355 \h </w:instrText>
            </w:r>
            <w:r>
              <w:rPr>
                <w:noProof/>
                <w:webHidden/>
              </w:rPr>
            </w:r>
            <w:r>
              <w:rPr>
                <w:noProof/>
                <w:webHidden/>
              </w:rPr>
              <w:fldChar w:fldCharType="separate"/>
            </w:r>
            <w:r w:rsidR="00C21B97">
              <w:rPr>
                <w:noProof/>
                <w:webHidden/>
              </w:rPr>
              <w:t>20</w:t>
            </w:r>
            <w:r>
              <w:rPr>
                <w:noProof/>
                <w:webHidden/>
              </w:rPr>
              <w:fldChar w:fldCharType="end"/>
            </w:r>
          </w:hyperlink>
        </w:p>
        <w:p w:rsidR="00C21B97" w:rsidRDefault="000C7BE7">
          <w:pPr>
            <w:pStyle w:val="TOC1"/>
            <w:tabs>
              <w:tab w:val="right" w:leader="dot" w:pos="9350"/>
            </w:tabs>
            <w:rPr>
              <w:rFonts w:eastAsiaTheme="minorEastAsia"/>
              <w:noProof/>
            </w:rPr>
          </w:pPr>
          <w:hyperlink w:anchor="_Toc307490356" w:history="1">
            <w:r w:rsidR="00C21B97" w:rsidRPr="007C3CB6">
              <w:rPr>
                <w:rStyle w:val="Hyperlink"/>
                <w:noProof/>
              </w:rPr>
              <w:t>Off-Model Putnam County Mobile Emissions Analysis</w:t>
            </w:r>
            <w:r w:rsidR="00C21B97">
              <w:rPr>
                <w:noProof/>
                <w:webHidden/>
              </w:rPr>
              <w:tab/>
            </w:r>
            <w:r>
              <w:rPr>
                <w:noProof/>
                <w:webHidden/>
              </w:rPr>
              <w:fldChar w:fldCharType="begin"/>
            </w:r>
            <w:r w:rsidR="00C21B97">
              <w:rPr>
                <w:noProof/>
                <w:webHidden/>
              </w:rPr>
              <w:instrText xml:space="preserve"> PAGEREF _Toc307490356 \h </w:instrText>
            </w:r>
            <w:r>
              <w:rPr>
                <w:noProof/>
                <w:webHidden/>
              </w:rPr>
            </w:r>
            <w:r>
              <w:rPr>
                <w:noProof/>
                <w:webHidden/>
              </w:rPr>
              <w:fldChar w:fldCharType="separate"/>
            </w:r>
            <w:r w:rsidR="00C21B97">
              <w:rPr>
                <w:noProof/>
                <w:webHidden/>
              </w:rPr>
              <w:t>22</w:t>
            </w:r>
            <w:r>
              <w:rPr>
                <w:noProof/>
                <w:webHidden/>
              </w:rPr>
              <w:fldChar w:fldCharType="end"/>
            </w:r>
          </w:hyperlink>
        </w:p>
        <w:p w:rsidR="00C21B97" w:rsidRDefault="000C7BE7">
          <w:pPr>
            <w:pStyle w:val="TOC1"/>
            <w:tabs>
              <w:tab w:val="right" w:leader="dot" w:pos="9350"/>
            </w:tabs>
            <w:rPr>
              <w:rFonts w:eastAsiaTheme="minorEastAsia"/>
              <w:noProof/>
            </w:rPr>
          </w:pPr>
          <w:hyperlink w:anchor="_Toc307490357" w:history="1">
            <w:r w:rsidR="00C21B97" w:rsidRPr="007C3CB6">
              <w:rPr>
                <w:rStyle w:val="Hyperlink"/>
                <w:noProof/>
              </w:rPr>
              <w:t>MOVES Model Output</w:t>
            </w:r>
            <w:r w:rsidR="00C21B97">
              <w:rPr>
                <w:noProof/>
                <w:webHidden/>
              </w:rPr>
              <w:tab/>
            </w:r>
            <w:r>
              <w:rPr>
                <w:noProof/>
                <w:webHidden/>
              </w:rPr>
              <w:fldChar w:fldCharType="begin"/>
            </w:r>
            <w:r w:rsidR="00C21B97">
              <w:rPr>
                <w:noProof/>
                <w:webHidden/>
              </w:rPr>
              <w:instrText xml:space="preserve"> PAGEREF _Toc307490357 \h </w:instrText>
            </w:r>
            <w:r>
              <w:rPr>
                <w:noProof/>
                <w:webHidden/>
              </w:rPr>
            </w:r>
            <w:r>
              <w:rPr>
                <w:noProof/>
                <w:webHidden/>
              </w:rPr>
              <w:fldChar w:fldCharType="separate"/>
            </w:r>
            <w:r w:rsidR="00C21B97">
              <w:rPr>
                <w:noProof/>
                <w:webHidden/>
              </w:rPr>
              <w:t>24</w:t>
            </w:r>
            <w:r>
              <w:rPr>
                <w:noProof/>
                <w:webHidden/>
              </w:rPr>
              <w:fldChar w:fldCharType="end"/>
            </w:r>
          </w:hyperlink>
        </w:p>
        <w:p w:rsidR="00C21B97" w:rsidRDefault="000C7BE7">
          <w:pPr>
            <w:pStyle w:val="TOC2"/>
            <w:tabs>
              <w:tab w:val="right" w:leader="dot" w:pos="9350"/>
            </w:tabs>
            <w:rPr>
              <w:rFonts w:eastAsiaTheme="minorEastAsia"/>
              <w:noProof/>
            </w:rPr>
          </w:pPr>
          <w:hyperlink w:anchor="_Toc307490358" w:history="1">
            <w:r w:rsidR="00C21B97" w:rsidRPr="007C3CB6">
              <w:rPr>
                <w:rStyle w:val="Hyperlink"/>
                <w:noProof/>
              </w:rPr>
              <w:t>Eight-Hour Ozone Standard Maintenance Plan</w:t>
            </w:r>
            <w:r w:rsidR="00C21B97">
              <w:rPr>
                <w:noProof/>
                <w:webHidden/>
              </w:rPr>
              <w:tab/>
            </w:r>
            <w:r>
              <w:rPr>
                <w:noProof/>
                <w:webHidden/>
              </w:rPr>
              <w:fldChar w:fldCharType="begin"/>
            </w:r>
            <w:r w:rsidR="00C21B97">
              <w:rPr>
                <w:noProof/>
                <w:webHidden/>
              </w:rPr>
              <w:instrText xml:space="preserve"> PAGEREF _Toc307490358 \h </w:instrText>
            </w:r>
            <w:r>
              <w:rPr>
                <w:noProof/>
                <w:webHidden/>
              </w:rPr>
            </w:r>
            <w:r>
              <w:rPr>
                <w:noProof/>
                <w:webHidden/>
              </w:rPr>
              <w:fldChar w:fldCharType="separate"/>
            </w:r>
            <w:r w:rsidR="00C21B97">
              <w:rPr>
                <w:noProof/>
                <w:webHidden/>
              </w:rPr>
              <w:t>24</w:t>
            </w:r>
            <w:r>
              <w:rPr>
                <w:noProof/>
                <w:webHidden/>
              </w:rPr>
              <w:fldChar w:fldCharType="end"/>
            </w:r>
          </w:hyperlink>
        </w:p>
        <w:p w:rsidR="00C21B97" w:rsidRDefault="000C7BE7">
          <w:pPr>
            <w:pStyle w:val="TOC2"/>
            <w:tabs>
              <w:tab w:val="right" w:leader="dot" w:pos="9350"/>
            </w:tabs>
            <w:rPr>
              <w:rFonts w:eastAsiaTheme="minorEastAsia"/>
              <w:noProof/>
            </w:rPr>
          </w:pPr>
          <w:hyperlink w:anchor="_Toc307490359" w:history="1">
            <w:r w:rsidR="00C21B97" w:rsidRPr="007C3CB6">
              <w:rPr>
                <w:rStyle w:val="Hyperlink"/>
                <w:noProof/>
              </w:rPr>
              <w:t>MOVES Model Output – Annual PM</w:t>
            </w:r>
            <w:r w:rsidR="00C21B97" w:rsidRPr="007C3CB6">
              <w:rPr>
                <w:rStyle w:val="Hyperlink"/>
                <w:noProof/>
                <w:vertAlign w:val="subscript"/>
              </w:rPr>
              <w:t>2.5</w:t>
            </w:r>
            <w:r w:rsidR="00C21B97" w:rsidRPr="007C3CB6">
              <w:rPr>
                <w:rStyle w:val="Hyperlink"/>
                <w:noProof/>
              </w:rPr>
              <w:t xml:space="preserve"> Standard Maintenance Plan</w:t>
            </w:r>
            <w:r w:rsidR="00C21B97">
              <w:rPr>
                <w:noProof/>
                <w:webHidden/>
              </w:rPr>
              <w:tab/>
            </w:r>
            <w:r>
              <w:rPr>
                <w:noProof/>
                <w:webHidden/>
              </w:rPr>
              <w:fldChar w:fldCharType="begin"/>
            </w:r>
            <w:r w:rsidR="00C21B97">
              <w:rPr>
                <w:noProof/>
                <w:webHidden/>
              </w:rPr>
              <w:instrText xml:space="preserve"> PAGEREF _Toc307490359 \h </w:instrText>
            </w:r>
            <w:r>
              <w:rPr>
                <w:noProof/>
                <w:webHidden/>
              </w:rPr>
            </w:r>
            <w:r>
              <w:rPr>
                <w:noProof/>
                <w:webHidden/>
              </w:rPr>
              <w:fldChar w:fldCharType="separate"/>
            </w:r>
            <w:r w:rsidR="00C21B97">
              <w:rPr>
                <w:noProof/>
                <w:webHidden/>
              </w:rPr>
              <w:t>24</w:t>
            </w:r>
            <w:r>
              <w:rPr>
                <w:noProof/>
                <w:webHidden/>
              </w:rPr>
              <w:fldChar w:fldCharType="end"/>
            </w:r>
          </w:hyperlink>
        </w:p>
        <w:p w:rsidR="00003529" w:rsidRDefault="000C7BE7">
          <w:r>
            <w:fldChar w:fldCharType="end"/>
          </w:r>
        </w:p>
      </w:sdtContent>
    </w:sdt>
    <w:p w:rsidR="00DA5F67" w:rsidRDefault="001D21F6" w:rsidP="00A1757D">
      <w:pPr>
        <w:pStyle w:val="Heading1"/>
        <w:spacing w:after="200"/>
      </w:pPr>
      <w:bookmarkStart w:id="1" w:name="_Toc307490331"/>
      <w:r>
        <w:lastRenderedPageBreak/>
        <w:t>Federal Clean Air Act Legislation and Transportation Conformity</w:t>
      </w:r>
      <w:bookmarkEnd w:id="0"/>
      <w:bookmarkEnd w:id="1"/>
    </w:p>
    <w:p w:rsidR="007830E8" w:rsidRPr="00BD21C3" w:rsidRDefault="007830E8" w:rsidP="00A1757D">
      <w:pPr>
        <w:jc w:val="both"/>
        <w:rPr>
          <w:b/>
        </w:rPr>
      </w:pPr>
      <w:r w:rsidRPr="00941979">
        <w:t xml:space="preserve">The Clean Air </w:t>
      </w:r>
      <w:r w:rsidRPr="002978D1">
        <w:t>Act</w:t>
      </w:r>
      <w:r w:rsidR="00016008">
        <w:t xml:space="preserve"> </w:t>
      </w:r>
      <w:r w:rsidRPr="002978D1">
        <w:t>requires</w:t>
      </w:r>
      <w:r w:rsidRPr="001E29D1">
        <w:t xml:space="preserve"> the United States Environmental Protection Agency (USEPA) to set limits on how much of a particular pollutant can be in the air anywhere in the United States.  National Ambient Air Quality Standards (NAAQS) are the pollutant limits set by the USEPA; they define the allowable concentration of pollution in the air for six different pollutants – Carbon Mo</w:t>
      </w:r>
      <w:r>
        <w:t>no</w:t>
      </w:r>
      <w:r w:rsidRPr="00D36783">
        <w:t>x</w:t>
      </w:r>
      <w:r w:rsidRPr="001E29D1">
        <w:t xml:space="preserve">ide, Lead, Nitrogen Dioxide, Particulate Matter, Ozone, and Sulfur Dioxide.  </w:t>
      </w:r>
    </w:p>
    <w:p w:rsidR="007830E8" w:rsidRPr="001E29D1" w:rsidRDefault="007830E8" w:rsidP="000B469F">
      <w:pPr>
        <w:jc w:val="both"/>
        <w:rPr>
          <w:rFonts w:cs="Arial"/>
        </w:rPr>
      </w:pPr>
      <w:r w:rsidRPr="001E29D1">
        <w:t xml:space="preserve">The Clean Air Act specifies how areas within the country are designated as either “attainment” or “nonattainment” of an air quality standard, and provides USEPA the authority to define the boundaries of nonattainment areas.  For areas designated as nonattainment for one or more NAAQS, the Clean Air Act defines a specific timetable to attain the standard and requires that nonattainment areas demonstrate reasonable and steady progress in reducing air pollution emissions until such time that an area can demonstrate attainment. Each state must develop and submit a State Implementation Plan (SIP) that addresses each pollutant for which it fails to meet the NAAQS.  Individual state air quality agencies are responsible for defining the overall regional plan to reduce air pollution emissions to levels that will enable attainment and maintenance of the NAAQS.  This strategy is articulated through the SIP.  In Georgia, the agency responsible for SIP </w:t>
      </w:r>
      <w:r w:rsidRPr="001E29D1">
        <w:rPr>
          <w:rFonts w:cs="Arial"/>
        </w:rPr>
        <w:t xml:space="preserve">development is the Georgia Environmental Protection Division (GA EPD).  </w:t>
      </w:r>
    </w:p>
    <w:p w:rsidR="007830E8" w:rsidRPr="001E29D1" w:rsidRDefault="007830E8" w:rsidP="000B469F">
      <w:pPr>
        <w:jc w:val="both"/>
      </w:pPr>
      <w:r w:rsidRPr="001C3B68">
        <w:t>The delineation and implementation of strategies to control emissions from on-road</w:t>
      </w:r>
      <w:r w:rsidRPr="000B469F">
        <w:rPr>
          <w:vertAlign w:val="superscript"/>
        </w:rPr>
        <w:footnoteReference w:id="1"/>
      </w:r>
      <w:r w:rsidRPr="000B469F">
        <w:rPr>
          <w:vertAlign w:val="superscript"/>
        </w:rPr>
        <w:t xml:space="preserve"> </w:t>
      </w:r>
      <w:r w:rsidRPr="001C3B68">
        <w:t>mobile sources is a significant element of the state plan to improve air quality, thereby creating a direct link between transportation and air quality planning activities within a nonattainment area.  The process of ensuring that a region’s transportation planning activities contribute to attainment of the NAAQS, or “conform” to the purposes of the SIP, is referred to as transportation conformity.   In order to receive federal transportation funds within the nonattainment area, the area must demonstrate through a federally mandated transportation</w:t>
      </w:r>
      <w:r>
        <w:t xml:space="preserve"> </w:t>
      </w:r>
      <w:r w:rsidRPr="001E29D1">
        <w:t xml:space="preserve">conformity process that the transportation investments, strategies and programs, taken as a whole, contribute to the air quality goals defined in the </w:t>
      </w:r>
      <w:r w:rsidR="005413A1">
        <w:t>S</w:t>
      </w:r>
      <w:r w:rsidRPr="001E29D1">
        <w:t>tate</w:t>
      </w:r>
      <w:r w:rsidR="005413A1">
        <w:t>’s</w:t>
      </w:r>
      <w:r w:rsidRPr="001E29D1">
        <w:t xml:space="preserve"> air quality plan.  </w:t>
      </w:r>
    </w:p>
    <w:p w:rsidR="007830E8" w:rsidRPr="002A470F" w:rsidRDefault="007830E8" w:rsidP="000B469F">
      <w:pPr>
        <w:jc w:val="both"/>
        <w:rPr>
          <w:b/>
          <w:color w:val="0000FF"/>
        </w:rPr>
      </w:pPr>
      <w:r>
        <w:t>To</w:t>
      </w:r>
      <w:r w:rsidRPr="001E29D1">
        <w:t xml:space="preserve"> ensure </w:t>
      </w:r>
      <w:r>
        <w:t xml:space="preserve">that </w:t>
      </w:r>
      <w:r w:rsidRPr="001E29D1">
        <w:t>conformity requirements are met, Section 176(c) of the Clean Air Act authorizes the USEPA Administrator to “promulgate criteria and procedures for demonstrating and assuring conformity in the case of transportation plans, programs, and projects.” This is accomplished through the</w:t>
      </w:r>
      <w:r w:rsidRPr="001E29D1">
        <w:rPr>
          <w:b/>
        </w:rPr>
        <w:t xml:space="preserve"> </w:t>
      </w:r>
      <w:r w:rsidRPr="002A470F">
        <w:t>Transportation Conformity Rule</w:t>
      </w:r>
      <w:r w:rsidRPr="002978D1">
        <w:t>, developed</w:t>
      </w:r>
      <w:r w:rsidRPr="001E29D1">
        <w:t xml:space="preserve"> by the USEPA to outline all federal requirements associated with transportation conformity.  The Transportation Conformity Rule in conjunction with the </w:t>
      </w:r>
      <w:r w:rsidRPr="002A470F">
        <w:t>Metropolitan Planning Regulations</w:t>
      </w:r>
      <w:r>
        <w:t xml:space="preserve"> </w:t>
      </w:r>
      <w:r w:rsidRPr="001E29D1">
        <w:t>direct transportation plan and program development as well as the conformity process. Th</w:t>
      </w:r>
      <w:r>
        <w:t>e</w:t>
      </w:r>
      <w:r w:rsidRPr="001E29D1">
        <w:t xml:space="preserve"> final </w:t>
      </w:r>
      <w:r>
        <w:t xml:space="preserve">conformity </w:t>
      </w:r>
      <w:r w:rsidRPr="001E29D1">
        <w:t>rule</w:t>
      </w:r>
      <w:r>
        <w:t xml:space="preserve"> (last updated in March 2010)</w:t>
      </w:r>
      <w:r w:rsidRPr="001E29D1">
        <w:t xml:space="preserve"> incorporates revisions </w:t>
      </w:r>
      <w:r>
        <w:t>resulting from</w:t>
      </w:r>
      <w:r w:rsidRPr="001E29D1">
        <w:t xml:space="preserve"> the passage of the Safe, Accountable, Flexible, </w:t>
      </w:r>
      <w:proofErr w:type="gramStart"/>
      <w:r w:rsidRPr="001E29D1">
        <w:t>Efficient</w:t>
      </w:r>
      <w:proofErr w:type="gramEnd"/>
      <w:r w:rsidRPr="001E29D1">
        <w:t xml:space="preserve"> Transportation Equity Act: A Legacy for Users (SAFETEA–LU)</w:t>
      </w:r>
      <w:r>
        <w:t xml:space="preserve">; the latest transportation funding legislation which </w:t>
      </w:r>
      <w:r w:rsidRPr="001E29D1">
        <w:t xml:space="preserve">specifies the </w:t>
      </w:r>
      <w:r>
        <w:t>process for</w:t>
      </w:r>
      <w:r w:rsidRPr="001E29D1">
        <w:t xml:space="preserve"> development of metropolitan transportation plans and programs for urbanized areas. </w:t>
      </w:r>
    </w:p>
    <w:p w:rsidR="00016008" w:rsidRDefault="00016008" w:rsidP="000B469F">
      <w:pPr>
        <w:jc w:val="both"/>
      </w:pPr>
      <w:r>
        <w:lastRenderedPageBreak/>
        <w:t xml:space="preserve">Mobile source modeling is required to establish emissions inventories that are used by GA EPD to </w:t>
      </w:r>
      <w:r w:rsidR="00222D09">
        <w:t>demonstrate progress towards, or attainment of, air quality standards</w:t>
      </w:r>
      <w:r>
        <w:t>.</w:t>
      </w:r>
      <w:r w:rsidR="00222D09">
        <w:t xml:space="preserve">  Emission inventories are incorporated into these SIP demonstrations for air quality planning purposes.  They are also used in the transportation conformity process to establish the maximum level of mobile source emissions that an area can produce and still “conform” to the SIP; these maximum levels are referred to as Motor Vehicle Emissions Budgets (MVEB).  The modeling process used to develop emissions inventories utilizes the latest Interagency approved planning assumptions and modeling techniques to prepare an emissions inventory for all pollutants (or pollutant precursors) for which a region is in nonattainment.</w:t>
      </w:r>
    </w:p>
    <w:p w:rsidR="009A4AD0" w:rsidRDefault="007830E8" w:rsidP="000B469F">
      <w:pPr>
        <w:jc w:val="both"/>
      </w:pPr>
      <w:r w:rsidRPr="001E29D1">
        <w:t>The Atlanta Regional Commission (</w:t>
      </w:r>
      <w:r>
        <w:t xml:space="preserve">ARC) is </w:t>
      </w:r>
      <w:r w:rsidRPr="001E29D1">
        <w:t xml:space="preserve">the federally designated </w:t>
      </w:r>
      <w:r w:rsidR="00222D09">
        <w:t>Metropolitan Planning Organization (</w:t>
      </w:r>
      <w:r w:rsidRPr="001E29D1">
        <w:t>MPO</w:t>
      </w:r>
      <w:r w:rsidR="00222D09">
        <w:t>)</w:t>
      </w:r>
      <w:r w:rsidRPr="001E29D1">
        <w:t xml:space="preserve"> for all or portions of 18 counties within the 19-county Atlanta Urbanized Area</w:t>
      </w:r>
      <w:r>
        <w:t>.</w:t>
      </w:r>
      <w:r w:rsidRPr="00AF5B79">
        <w:rPr>
          <w:vertAlign w:val="superscript"/>
        </w:rPr>
        <w:footnoteReference w:id="2"/>
      </w:r>
      <w:r>
        <w:t xml:space="preserve"> </w:t>
      </w:r>
      <w:r w:rsidR="00C109A9">
        <w:t xml:space="preserve"> </w:t>
      </w:r>
      <w:r>
        <w:t>ARC</w:t>
      </w:r>
      <w:r w:rsidRPr="001E29D1">
        <w:t xml:space="preserve"> is directly responsible for developing </w:t>
      </w:r>
      <w:r w:rsidR="00C109A9">
        <w:t xml:space="preserve">both </w:t>
      </w:r>
      <w:r w:rsidRPr="001E29D1">
        <w:t xml:space="preserve">a long-range </w:t>
      </w:r>
      <w:r w:rsidR="00C109A9">
        <w:t>Regional Transportation Plan (</w:t>
      </w:r>
      <w:r w:rsidRPr="001E29D1">
        <w:t>RTP</w:t>
      </w:r>
      <w:r w:rsidR="00C109A9">
        <w:t>)</w:t>
      </w:r>
      <w:r w:rsidRPr="001E29D1">
        <w:t xml:space="preserve"> and </w:t>
      </w:r>
      <w:r w:rsidR="00C109A9">
        <w:t xml:space="preserve">a </w:t>
      </w:r>
      <w:r w:rsidRPr="001E29D1">
        <w:t xml:space="preserve">short-range </w:t>
      </w:r>
      <w:r w:rsidR="00C109A9">
        <w:t>Transportation Improvement Program (</w:t>
      </w:r>
      <w:r w:rsidRPr="001E29D1">
        <w:t>TIP</w:t>
      </w:r>
      <w:r w:rsidR="00C109A9">
        <w:t>)</w:t>
      </w:r>
      <w:r w:rsidRPr="001E29D1">
        <w:t xml:space="preserve"> that conform to the air quality goals established in the SIP, according to the guidelines outlined in the Metropolitan Planning Regulations </w:t>
      </w:r>
      <w:r>
        <w:t xml:space="preserve">and </w:t>
      </w:r>
      <w:r w:rsidRPr="001E29D1">
        <w:t>Tr</w:t>
      </w:r>
      <w:r>
        <w:t>ansportation Conformity Rule</w:t>
      </w:r>
      <w:r w:rsidR="004F78E3">
        <w:t>.</w:t>
      </w:r>
    </w:p>
    <w:p w:rsidR="007830E8" w:rsidRDefault="007830E8" w:rsidP="000B469F">
      <w:pPr>
        <w:jc w:val="both"/>
      </w:pPr>
      <w:r w:rsidRPr="001E29D1">
        <w:t xml:space="preserve">A small portion of the Atlanta Urbanized Area extends into Hall County. </w:t>
      </w:r>
      <w:r w:rsidR="000B469F">
        <w:t xml:space="preserve"> </w:t>
      </w:r>
      <w:r w:rsidRPr="001E29D1">
        <w:t>In February 2003, the Gainesville-Hall County MPO</w:t>
      </w:r>
      <w:r w:rsidR="00C109A9">
        <w:t xml:space="preserve"> (GHMPO)</w:t>
      </w:r>
      <w:r w:rsidRPr="001E29D1">
        <w:t xml:space="preserve"> was designated for the Gainesville Urbanized Area; the planning boundary for the GHMPO covers Hall County in its entirety.  Hall County is included both in Atlanta's ozone and </w:t>
      </w:r>
      <w:r w:rsidR="00C109A9">
        <w:t>fine particulate</w:t>
      </w:r>
      <w:r w:rsidRPr="001E29D1">
        <w:t xml:space="preserve"> nonattainment areas.  The ARC performs the planning and technical work required by the Transportation Conformity Rule, including, by agreement with the GHMPO, the emi</w:t>
      </w:r>
      <w:r w:rsidR="00C109A9">
        <w:t>ssions modeling for Hall County.</w:t>
      </w:r>
      <w:r w:rsidR="00222D09">
        <w:t xml:space="preserve">  </w:t>
      </w:r>
      <w:r w:rsidR="00C109A9">
        <w:t>ARC</w:t>
      </w:r>
      <w:r w:rsidRPr="001E29D1">
        <w:t xml:space="preserve"> documents the analysis in a combined Conformity Determination Report (CDR).  The United States Department of Transportation (USDOT) approves or disapproves the conformity analysis in consultation with the USEPA.  A positive conformity determination is required in order for the RTP and TIP to advance.</w:t>
      </w:r>
      <w:r w:rsidR="00222D09">
        <w:t xml:space="preserve">  In addition, all of Carroll County, which is not within an MPO boundary, is included within the Atlanta nonattainment area and included in the travel and emissions modeling effort.</w:t>
      </w:r>
      <w:r w:rsidRPr="001E29D1">
        <w:t xml:space="preserve"> </w:t>
      </w:r>
    </w:p>
    <w:p w:rsidR="00E54FD7" w:rsidRDefault="00E54FD7">
      <w:pPr>
        <w:rPr>
          <w:rFonts w:asciiTheme="majorHAnsi" w:eastAsiaTheme="majorEastAsia" w:hAnsiTheme="majorHAnsi" w:cstheme="majorBidi"/>
          <w:b/>
          <w:bCs/>
          <w:color w:val="365F91" w:themeColor="accent1" w:themeShade="BF"/>
          <w:sz w:val="28"/>
          <w:szCs w:val="28"/>
        </w:rPr>
      </w:pPr>
      <w:r>
        <w:br w:type="page"/>
      </w:r>
    </w:p>
    <w:p w:rsidR="009A4AD0" w:rsidRPr="009A4AD0" w:rsidRDefault="009A4AD0" w:rsidP="00815A61">
      <w:pPr>
        <w:pStyle w:val="Heading1"/>
        <w:spacing w:after="200"/>
      </w:pPr>
      <w:bookmarkStart w:id="2" w:name="_Toc307469364"/>
      <w:bookmarkStart w:id="3" w:name="_Toc307490332"/>
      <w:r w:rsidRPr="009A4AD0">
        <w:lastRenderedPageBreak/>
        <w:t xml:space="preserve">Current </w:t>
      </w:r>
      <w:r w:rsidR="004F78E3">
        <w:t>A</w:t>
      </w:r>
      <w:r w:rsidRPr="009A4AD0">
        <w:t>ttainment Status</w:t>
      </w:r>
      <w:bookmarkEnd w:id="2"/>
      <w:bookmarkEnd w:id="3"/>
    </w:p>
    <w:p w:rsidR="009A4AD0" w:rsidRPr="009A4AD0" w:rsidRDefault="009A4AD0" w:rsidP="00815A61">
      <w:pPr>
        <w:pStyle w:val="Heading2"/>
      </w:pPr>
      <w:bookmarkStart w:id="4" w:name="_Toc307469365"/>
      <w:bookmarkStart w:id="5" w:name="_Toc307490333"/>
      <w:r>
        <w:t>1997 Eight-Hour Ozone Standard</w:t>
      </w:r>
      <w:bookmarkEnd w:id="4"/>
      <w:bookmarkEnd w:id="5"/>
    </w:p>
    <w:p w:rsidR="009A4AD0" w:rsidRPr="001A7329" w:rsidRDefault="009A4AD0" w:rsidP="009A4AD0">
      <w:pPr>
        <w:jc w:val="both"/>
      </w:pPr>
      <w:r w:rsidRPr="001A7329">
        <w:t>Effective June 15, 2004, 20 counties</w:t>
      </w:r>
      <w:r w:rsidR="004F78E3">
        <w:t xml:space="preserve"> (see </w:t>
      </w:r>
      <w:r w:rsidR="00820EC9">
        <w:t>Figure 1</w:t>
      </w:r>
      <w:r w:rsidR="004F78E3">
        <w:t>)</w:t>
      </w:r>
      <w:r w:rsidRPr="001A7329">
        <w:t xml:space="preserve"> in the Atlanta area were designated as nonattainment under the eight-hour ozone standard with an initial classification of Marginal.  Ozone is not emitted directly by any source; it is formed when Nitrogen Oxides (NO</w:t>
      </w:r>
      <w:r w:rsidRPr="001A7329">
        <w:rPr>
          <w:vertAlign w:val="subscript"/>
        </w:rPr>
        <w:t>x</w:t>
      </w:r>
      <w:r w:rsidRPr="001A7329">
        <w:t>) and Volatile Organic Compounds (VOC) combine in the atmosphere in the presence of sunlight.  Air pollution control strategies are aimed at controlling NO</w:t>
      </w:r>
      <w:r w:rsidRPr="001A7329">
        <w:rPr>
          <w:vertAlign w:val="subscript"/>
        </w:rPr>
        <w:t>x</w:t>
      </w:r>
      <w:r w:rsidR="00C109A9">
        <w:t xml:space="preserve"> and VOC</w:t>
      </w:r>
      <w:r w:rsidRPr="001A7329">
        <w:t xml:space="preserve"> since they are precursors to ozone formation. The eight-hour ozone nonattainment area encompasses the previous 13-county one-hour ozone maintenance area</w:t>
      </w:r>
      <w:r w:rsidR="004D63A3">
        <w:rPr>
          <w:rStyle w:val="FootnoteReference"/>
        </w:rPr>
        <w:footnoteReference w:id="3"/>
      </w:r>
      <w:r w:rsidRPr="001A7329">
        <w:t xml:space="preserve"> plus seven additional "ring" counties</w:t>
      </w:r>
      <w:r w:rsidR="00820EC9">
        <w:t>.</w:t>
      </w:r>
      <w:r w:rsidR="004D63A3">
        <w:rPr>
          <w:rStyle w:val="FootnoteReference"/>
        </w:rPr>
        <w:footnoteReference w:id="4"/>
      </w:r>
      <w:r w:rsidRPr="001A7329">
        <w:t xml:space="preserve"> </w:t>
      </w:r>
    </w:p>
    <w:p w:rsidR="009A4AD0" w:rsidRDefault="009A4AD0" w:rsidP="009A4AD0">
      <w:pPr>
        <w:jc w:val="both"/>
      </w:pPr>
      <w:r w:rsidRPr="001A7329">
        <w:t xml:space="preserve">Since </w:t>
      </w:r>
      <w:r w:rsidR="00C109A9">
        <w:t>designation</w:t>
      </w:r>
      <w:r w:rsidRPr="001A7329">
        <w:t xml:space="preserve">, the region </w:t>
      </w:r>
      <w:r w:rsidR="00C109A9">
        <w:t>was</w:t>
      </w:r>
      <w:r w:rsidRPr="001A7329">
        <w:t xml:space="preserve"> reclassified as a moderate ozone nonattainment area in April 2008 with an attainment date of June 15, 2010.  MVEBs </w:t>
      </w:r>
      <w:r w:rsidR="00C109A9">
        <w:t>were</w:t>
      </w:r>
      <w:r w:rsidRPr="001A7329">
        <w:t xml:space="preserve"> established for the 20-county region as part of the Atlanta Early </w:t>
      </w:r>
      <w:r w:rsidR="00222D09">
        <w:t xml:space="preserve">Progress </w:t>
      </w:r>
      <w:r w:rsidRPr="001A7329">
        <w:t xml:space="preserve">State Implementation Plan for the year 2008.  The </w:t>
      </w:r>
      <w:r w:rsidR="001D21F6">
        <w:t>GA</w:t>
      </w:r>
      <w:r w:rsidRPr="001A7329">
        <w:t xml:space="preserve"> EPD submitted a Reasonable Further Progress Plan in 2009, extending the attainment deadline by one year, due to clean data observations.  In the fall of 2009, GA EPD submitted an Attainment Plan for the 1997 e</w:t>
      </w:r>
      <w:r>
        <w:t xml:space="preserve">ight-hour ozone standard to </w:t>
      </w:r>
      <w:r w:rsidR="00AF1C4B">
        <w:t>the US</w:t>
      </w:r>
      <w:r>
        <w:t>EPA.</w:t>
      </w:r>
    </w:p>
    <w:p w:rsidR="009A4AD0" w:rsidRDefault="009A4AD0" w:rsidP="00815A61">
      <w:pPr>
        <w:pStyle w:val="Heading2"/>
      </w:pPr>
      <w:bookmarkStart w:id="6" w:name="_Toc307469366"/>
      <w:bookmarkStart w:id="7" w:name="_Toc307490334"/>
      <w:r>
        <w:t>1997 Annual PM</w:t>
      </w:r>
      <w:r w:rsidRPr="009A4AD0">
        <w:rPr>
          <w:vertAlign w:val="subscript"/>
        </w:rPr>
        <w:t>2.5</w:t>
      </w:r>
      <w:r>
        <w:t xml:space="preserve"> Standard</w:t>
      </w:r>
      <w:bookmarkEnd w:id="6"/>
      <w:bookmarkEnd w:id="7"/>
    </w:p>
    <w:p w:rsidR="009A4AD0" w:rsidRPr="001A7329" w:rsidRDefault="009A4AD0" w:rsidP="009A4AD0">
      <w:pPr>
        <w:jc w:val="both"/>
      </w:pPr>
      <w:r w:rsidRPr="001A7329">
        <w:t>On December 17, 2004, the USEPA also designated 20 whole counties and two partial counties (Heard and Putnam</w:t>
      </w:r>
      <w:r w:rsidR="004F78E3">
        <w:t xml:space="preserve">, see </w:t>
      </w:r>
      <w:r w:rsidR="004F78E3" w:rsidRPr="00A1757D">
        <w:t xml:space="preserve">Figure </w:t>
      </w:r>
      <w:r w:rsidR="00A1757D" w:rsidRPr="00A1757D">
        <w:t>1</w:t>
      </w:r>
      <w:r w:rsidRPr="001A7329">
        <w:t>) near the metropolitan Atlanta area as nonattainment under the annual fine particulate matter (PM</w:t>
      </w:r>
      <w:r w:rsidRPr="009A4AD0">
        <w:rPr>
          <w:vertAlign w:val="subscript"/>
        </w:rPr>
        <w:t>2.5</w:t>
      </w:r>
      <w:r w:rsidRPr="001A7329">
        <w:t xml:space="preserve">) standard.  Particulate matter, or PM, is the term for particles found in the air, including dust, dirt, soot, smoke, and liquid droplets. The primary source of concern </w:t>
      </w:r>
      <w:r w:rsidR="00AF1C4B">
        <w:t>in air quality emissions analyse</w:t>
      </w:r>
      <w:r w:rsidRPr="001A7329">
        <w:t>s is direct motor vehicle PM emissions, both from the combustion proce</w:t>
      </w:r>
      <w:r w:rsidR="00AF1C4B">
        <w:t>ss and from tire and brake wear,</w:t>
      </w:r>
      <w:r w:rsidRPr="001A7329">
        <w:t xml:space="preserve"> and a precursor to PM formation in the atmosphere, NO</w:t>
      </w:r>
      <w:r w:rsidRPr="001A7329">
        <w:rPr>
          <w:vertAlign w:val="subscript"/>
        </w:rPr>
        <w:t>x</w:t>
      </w:r>
      <w:r w:rsidRPr="001A7329">
        <w:t xml:space="preserve">. Particles less than </w:t>
      </w:r>
      <w:r w:rsidRPr="00AF1C4B">
        <w:t>2.5</w:t>
      </w:r>
      <w:r w:rsidRPr="001A7329">
        <w:t xml:space="preserve"> micrometers in diameter are referred to as "fine" particles and are believed to pose the greatest health risks. The PM</w:t>
      </w:r>
      <w:r w:rsidRPr="009A4AD0">
        <w:rPr>
          <w:vertAlign w:val="subscript"/>
        </w:rPr>
        <w:t>2.5</w:t>
      </w:r>
      <w:r w:rsidRPr="001A7329">
        <w:t xml:space="preserve"> nonattainment area encompasses the previous 13-county one-hour ozone maintenance area plus seven additional “ring” counties: Carroll, Bartow, Hall, Barrow, Walton, Newton, and Spalding counties; and par</w:t>
      </w:r>
      <w:r w:rsidR="00820EC9">
        <w:t>ts of Heard and Putnam counties</w:t>
      </w:r>
      <w:r w:rsidRPr="001A7329">
        <w:t>.</w:t>
      </w:r>
    </w:p>
    <w:p w:rsidR="009A4AD0" w:rsidRPr="001A7329" w:rsidRDefault="009A4AD0" w:rsidP="009A4AD0">
      <w:pPr>
        <w:jc w:val="both"/>
      </w:pPr>
      <w:r w:rsidRPr="001A7329">
        <w:t>The PM</w:t>
      </w:r>
      <w:r w:rsidRPr="009A4AD0">
        <w:rPr>
          <w:vertAlign w:val="subscript"/>
        </w:rPr>
        <w:t>2.5</w:t>
      </w:r>
      <w:r w:rsidRPr="001A7329">
        <w:t xml:space="preserve"> </w:t>
      </w:r>
      <w:r w:rsidR="00AF1C4B">
        <w:t>NAAQS</w:t>
      </w:r>
      <w:r w:rsidRPr="001A7329">
        <w:t xml:space="preserve"> has two standards associated with it – an annual standard of 15 micrograms per cubic meter (</w:t>
      </w:r>
      <w:proofErr w:type="spellStart"/>
      <w:r w:rsidRPr="001A7329">
        <w:t>ug</w:t>
      </w:r>
      <w:proofErr w:type="spellEnd"/>
      <w:r w:rsidRPr="001A7329">
        <w:t>/m</w:t>
      </w:r>
      <w:r w:rsidRPr="001A7329">
        <w:rPr>
          <w:vertAlign w:val="superscript"/>
        </w:rPr>
        <w:t>3</w:t>
      </w:r>
      <w:r w:rsidRPr="001A7329">
        <w:t xml:space="preserve">) </w:t>
      </w:r>
      <w:r w:rsidR="00AF1C4B">
        <w:t xml:space="preserve">averaged </w:t>
      </w:r>
      <w:r w:rsidRPr="001A7329">
        <w:t>over the course of a year, and a daily standard of 35ug/m</w:t>
      </w:r>
      <w:r w:rsidRPr="001A7329">
        <w:rPr>
          <w:vertAlign w:val="superscript"/>
        </w:rPr>
        <w:t>3</w:t>
      </w:r>
      <w:r w:rsidRPr="001A7329">
        <w:t xml:space="preserve"> measured over 24 hours.  </w:t>
      </w:r>
    </w:p>
    <w:p w:rsidR="009A4AD0" w:rsidRPr="009A4AD0" w:rsidRDefault="009A4AD0" w:rsidP="00A1757D">
      <w:pPr>
        <w:jc w:val="both"/>
      </w:pPr>
      <w:r w:rsidRPr="001A7329">
        <w:t>Under the PM</w:t>
      </w:r>
      <w:r w:rsidRPr="009A4AD0">
        <w:rPr>
          <w:vertAlign w:val="subscript"/>
        </w:rPr>
        <w:t>2.5</w:t>
      </w:r>
      <w:r w:rsidRPr="001A7329">
        <w:t xml:space="preserve"> standard, there is no classification system to determine stringency of emission control measures or attainment year.  PM</w:t>
      </w:r>
      <w:r w:rsidRPr="009A4AD0">
        <w:rPr>
          <w:vertAlign w:val="subscript"/>
        </w:rPr>
        <w:t>2.5</w:t>
      </w:r>
      <w:r w:rsidRPr="001A7329">
        <w:t xml:space="preserve"> nonattainment areas must attain as soon as possible, but no later than April 2010, with an additional five years provided if the state can demonstrate that it is warranted.  The PM</w:t>
      </w:r>
      <w:r w:rsidRPr="009A4AD0">
        <w:rPr>
          <w:vertAlign w:val="subscript"/>
        </w:rPr>
        <w:t>2.5</w:t>
      </w:r>
      <w:r w:rsidRPr="001A7329">
        <w:t xml:space="preserve"> attainment SIP was submitted to </w:t>
      </w:r>
      <w:r w:rsidR="00AF1C4B">
        <w:t>US</w:t>
      </w:r>
      <w:r w:rsidRPr="001A7329">
        <w:t xml:space="preserve">EPA by </w:t>
      </w:r>
      <w:r w:rsidR="001D21F6">
        <w:t>GA EPD</w:t>
      </w:r>
      <w:r w:rsidRPr="001A7329">
        <w:t xml:space="preserve"> on July 6, 2010.  The </w:t>
      </w:r>
      <w:r w:rsidR="001D21F6">
        <w:t>GA EPD</w:t>
      </w:r>
      <w:r w:rsidRPr="001A7329">
        <w:t xml:space="preserve"> </w:t>
      </w:r>
      <w:r w:rsidR="00AF1C4B">
        <w:t>plans on requesting this SIP not be processed as a result of the pending PM</w:t>
      </w:r>
      <w:r w:rsidR="00AF1C4B">
        <w:rPr>
          <w:vertAlign w:val="subscript"/>
        </w:rPr>
        <w:t>2.5</w:t>
      </w:r>
      <w:r w:rsidR="00AF1C4B">
        <w:t xml:space="preserve"> clean data determination and the </w:t>
      </w:r>
      <w:r w:rsidR="00AF1C4B">
        <w:lastRenderedPageBreak/>
        <w:t>development of a Maintenance Plan</w:t>
      </w:r>
      <w:r w:rsidRPr="001A7329">
        <w:t>.  Until</w:t>
      </w:r>
      <w:r w:rsidR="00AF1C4B">
        <w:t xml:space="preserve"> a finalized plan with </w:t>
      </w:r>
      <w:r w:rsidR="00222D09">
        <w:t>MVEB</w:t>
      </w:r>
      <w:r w:rsidR="00AF1C4B">
        <w:t xml:space="preserve"> is in place, an </w:t>
      </w:r>
      <w:r w:rsidRPr="001A7329">
        <w:t xml:space="preserve">interim emissions methodology is used to determine </w:t>
      </w:r>
      <w:r w:rsidR="00AF1C4B">
        <w:t>conformity of the RTP and TIP.</w:t>
      </w:r>
    </w:p>
    <w:p w:rsidR="007830E8" w:rsidRPr="00A1757D" w:rsidRDefault="007830E8" w:rsidP="00A1757D">
      <w:pPr>
        <w:jc w:val="center"/>
        <w:rPr>
          <w:b/>
          <w:sz w:val="24"/>
          <w:szCs w:val="24"/>
        </w:rPr>
      </w:pPr>
      <w:r w:rsidRPr="00A1757D">
        <w:rPr>
          <w:b/>
          <w:sz w:val="24"/>
          <w:szCs w:val="24"/>
        </w:rPr>
        <w:t xml:space="preserve">Figure </w:t>
      </w:r>
      <w:r w:rsidR="00A1757D">
        <w:rPr>
          <w:b/>
          <w:sz w:val="24"/>
          <w:szCs w:val="24"/>
        </w:rPr>
        <w:t>1</w:t>
      </w:r>
      <w:r w:rsidRPr="00A1757D">
        <w:rPr>
          <w:b/>
          <w:sz w:val="24"/>
          <w:szCs w:val="24"/>
        </w:rPr>
        <w:t xml:space="preserve"> – Atlanta</w:t>
      </w:r>
      <w:r w:rsidR="00A1757D">
        <w:rPr>
          <w:b/>
          <w:sz w:val="24"/>
          <w:szCs w:val="24"/>
        </w:rPr>
        <w:t xml:space="preserve"> Nonattainment Area Boundaries</w:t>
      </w:r>
    </w:p>
    <w:p w:rsidR="00DA5F67" w:rsidRDefault="007830E8">
      <w:pPr>
        <w:rPr>
          <w:b/>
        </w:rPr>
      </w:pPr>
      <w:r>
        <w:rPr>
          <w:b/>
          <w:noProof/>
        </w:rPr>
        <w:drawing>
          <wp:inline distT="0" distB="0" distL="0" distR="0">
            <wp:extent cx="5943600" cy="4114800"/>
            <wp:effectExtent l="19050" t="0" r="0" b="0"/>
            <wp:docPr id="2" name="Picture 2" descr="J:\Model_Application\Air Quality\Nonattainment Ar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Model_Application\Air Quality\Nonattainment Areas.jpg"/>
                    <pic:cNvPicPr>
                      <a:picLocks noChangeAspect="1" noChangeArrowheads="1"/>
                    </pic:cNvPicPr>
                  </pic:nvPicPr>
                  <pic:blipFill>
                    <a:blip r:embed="rId8" cstate="print"/>
                    <a:srcRect t="5187" b="5187"/>
                    <a:stretch>
                      <a:fillRect/>
                    </a:stretch>
                  </pic:blipFill>
                  <pic:spPr bwMode="auto">
                    <a:xfrm>
                      <a:off x="0" y="0"/>
                      <a:ext cx="5943600" cy="4114800"/>
                    </a:xfrm>
                    <a:prstGeom prst="rect">
                      <a:avLst/>
                    </a:prstGeom>
                    <a:noFill/>
                    <a:ln w="9525">
                      <a:noFill/>
                      <a:miter lim="800000"/>
                      <a:headEnd/>
                      <a:tailEnd/>
                    </a:ln>
                  </pic:spPr>
                </pic:pic>
              </a:graphicData>
            </a:graphic>
          </wp:inline>
        </w:drawing>
      </w:r>
    </w:p>
    <w:p w:rsidR="004F78E3" w:rsidRDefault="004F78E3">
      <w:pPr>
        <w:rPr>
          <w:b/>
        </w:rPr>
      </w:pPr>
    </w:p>
    <w:p w:rsidR="00E54FD7" w:rsidRDefault="00E54FD7">
      <w:pPr>
        <w:rPr>
          <w:rFonts w:asciiTheme="majorHAnsi" w:eastAsiaTheme="majorEastAsia" w:hAnsiTheme="majorHAnsi" w:cstheme="majorBidi"/>
          <w:b/>
          <w:bCs/>
          <w:color w:val="365F91" w:themeColor="accent1" w:themeShade="BF"/>
          <w:sz w:val="28"/>
          <w:szCs w:val="28"/>
        </w:rPr>
      </w:pPr>
      <w:r>
        <w:br w:type="page"/>
      </w:r>
    </w:p>
    <w:p w:rsidR="00815A61" w:rsidRDefault="00815A61" w:rsidP="00815A61">
      <w:pPr>
        <w:pStyle w:val="Heading1"/>
        <w:spacing w:after="200"/>
      </w:pPr>
      <w:bookmarkStart w:id="8" w:name="_Toc307469367"/>
      <w:bookmarkStart w:id="9" w:name="_Toc307490335"/>
      <w:r>
        <w:lastRenderedPageBreak/>
        <w:t>Modeling Assumptions</w:t>
      </w:r>
      <w:bookmarkEnd w:id="8"/>
      <w:bookmarkEnd w:id="9"/>
    </w:p>
    <w:p w:rsidR="00DA5F67" w:rsidRDefault="00F84D82" w:rsidP="00815A61">
      <w:pPr>
        <w:pStyle w:val="Heading2"/>
      </w:pPr>
      <w:bookmarkStart w:id="10" w:name="_Toc307469368"/>
      <w:bookmarkStart w:id="11" w:name="_Toc307490336"/>
      <w:r>
        <w:t xml:space="preserve">Emissions </w:t>
      </w:r>
      <w:r w:rsidR="00DA5F67">
        <w:t>Model</w:t>
      </w:r>
      <w:r w:rsidR="00815A61">
        <w:t>ing</w:t>
      </w:r>
      <w:r>
        <w:t xml:space="preserve"> Assumptions</w:t>
      </w:r>
      <w:bookmarkEnd w:id="10"/>
      <w:bookmarkEnd w:id="11"/>
    </w:p>
    <w:p w:rsidR="00DA5F67" w:rsidRDefault="00DA5F67" w:rsidP="00F84D82">
      <w:pPr>
        <w:jc w:val="both"/>
      </w:pPr>
      <w:r>
        <w:t>Section 93.105(c)(1)(</w:t>
      </w:r>
      <w:proofErr w:type="spellStart"/>
      <w:r>
        <w:t>i</w:t>
      </w:r>
      <w:proofErr w:type="spellEnd"/>
      <w:r>
        <w:t>) of the Transportation Conformity Rule requires that Interagency partners be provided the opportunity for evaluating and choosing a model and associated methods and assumptions to be used in the regional emissions analysis needed to demonstrate conformity.</w:t>
      </w:r>
    </w:p>
    <w:p w:rsidR="00F84D82" w:rsidRDefault="00DA5F67" w:rsidP="00F84D82">
      <w:pPr>
        <w:jc w:val="both"/>
      </w:pPr>
      <w:r>
        <w:t xml:space="preserve">The ARC has consulted with the </w:t>
      </w:r>
      <w:proofErr w:type="gramStart"/>
      <w:r>
        <w:t>Interagency</w:t>
      </w:r>
      <w:proofErr w:type="gramEnd"/>
      <w:r>
        <w:t xml:space="preserve"> group as to the required version of the USEPA’s </w:t>
      </w:r>
      <w:r w:rsidR="00F84D82">
        <w:t>mobile</w:t>
      </w:r>
      <w:r>
        <w:t xml:space="preserve"> source</w:t>
      </w:r>
      <w:r w:rsidR="00042202">
        <w:t xml:space="preserve"> emissions</w:t>
      </w:r>
      <w:r>
        <w:t xml:space="preserve"> model.  This is documented along with the other planning assumptions and modeling inputs in Exhibits </w:t>
      </w:r>
      <w:r w:rsidRPr="00820EC9">
        <w:t>1A and 1B</w:t>
      </w:r>
      <w:r>
        <w:t>.  These documents were submitted to the Interagency consultation group in accordance with Section 93.105(c</w:t>
      </w:r>
      <w:proofErr w:type="gramStart"/>
      <w:r>
        <w:t>)(</w:t>
      </w:r>
      <w:proofErr w:type="gramEnd"/>
      <w:r>
        <w:t>1)(</w:t>
      </w:r>
      <w:proofErr w:type="spellStart"/>
      <w:r>
        <w:t>i</w:t>
      </w:r>
      <w:proofErr w:type="spellEnd"/>
      <w:r>
        <w:t>) of the Transportation Conformity Rule.  The documents include assumptions for both the eight-hour ozone and the PM</w:t>
      </w:r>
      <w:r w:rsidR="009A4AD0" w:rsidRPr="009A4AD0">
        <w:rPr>
          <w:vertAlign w:val="subscript"/>
        </w:rPr>
        <w:t>2.5</w:t>
      </w:r>
      <w:r>
        <w:t xml:space="preserve"> emissions analyses.  Interagency approval of these assumptions was granted on August 26, 2011.</w:t>
      </w:r>
    </w:p>
    <w:p w:rsidR="00F84D82" w:rsidRPr="00D71A09" w:rsidRDefault="00F84D82" w:rsidP="00815A61">
      <w:pPr>
        <w:pStyle w:val="Heading2"/>
      </w:pPr>
      <w:bookmarkStart w:id="12" w:name="_Toc307469369"/>
      <w:bookmarkStart w:id="13" w:name="_Toc307490337"/>
      <w:r w:rsidRPr="00D71A09">
        <w:t>Travel Demand Modeling Assumptions</w:t>
      </w:r>
      <w:bookmarkEnd w:id="12"/>
      <w:bookmarkEnd w:id="13"/>
    </w:p>
    <w:p w:rsidR="00F84D82" w:rsidRDefault="00F84D82" w:rsidP="00F84D82">
      <w:pPr>
        <w:jc w:val="both"/>
      </w:pPr>
      <w:r>
        <w:t xml:space="preserve">The regional emissions analysis </w:t>
      </w:r>
      <w:r w:rsidR="00042202">
        <w:t xml:space="preserve">utilized </w:t>
      </w:r>
      <w:r>
        <w:t xml:space="preserve">to develop Maintenance Plan </w:t>
      </w:r>
      <w:r w:rsidR="00042202">
        <w:t>MVEBs</w:t>
      </w:r>
      <w:r>
        <w:t xml:space="preserve"> for both the eight-hour ozone standard and the annual PM</w:t>
      </w:r>
      <w:r w:rsidR="009A4AD0" w:rsidRPr="009A4AD0">
        <w:rPr>
          <w:vertAlign w:val="subscript"/>
        </w:rPr>
        <w:t>2.5</w:t>
      </w:r>
      <w:r>
        <w:t xml:space="preserve"> standard relies on a methodology which utilizes ARC’s 20-county regional travel demand model.</w:t>
      </w:r>
      <w:r w:rsidR="00042202">
        <w:t xml:space="preserve">  A brief outline of the model structure follows.  More specific information is available on the ARC’s website.</w:t>
      </w:r>
      <w:r w:rsidR="00042202">
        <w:rPr>
          <w:rStyle w:val="FootnoteReference"/>
        </w:rPr>
        <w:footnoteReference w:id="5"/>
      </w:r>
    </w:p>
    <w:p w:rsidR="00D71A09" w:rsidRPr="00D71A09" w:rsidRDefault="00D71A09" w:rsidP="00042202">
      <w:pPr>
        <w:pStyle w:val="Heading3"/>
      </w:pPr>
      <w:bookmarkStart w:id="14" w:name="_Toc307469370"/>
      <w:bookmarkStart w:id="15" w:name="_Toc307490338"/>
      <w:r w:rsidRPr="00D71A09">
        <w:t>Travel Model Networks</w:t>
      </w:r>
      <w:bookmarkEnd w:id="14"/>
      <w:bookmarkEnd w:id="15"/>
    </w:p>
    <w:p w:rsidR="00F84D82" w:rsidRDefault="00F84D82" w:rsidP="00F84D82">
      <w:pPr>
        <w:jc w:val="both"/>
      </w:pPr>
      <w:r>
        <w:t xml:space="preserve">Updated travel model networks were created for each </w:t>
      </w:r>
      <w:r w:rsidR="006F6195">
        <w:t>required emissions inventory</w:t>
      </w:r>
      <w:r>
        <w:t xml:space="preserve"> year (2008 and 2024) to reflect projects in the currently approv</w:t>
      </w:r>
      <w:r w:rsidR="00042202">
        <w:t xml:space="preserve">ed Regional Transportation Plan, </w:t>
      </w:r>
      <w:r>
        <w:t>PLAN 2040.</w:t>
      </w:r>
      <w:r w:rsidR="005300D6">
        <w:t xml:space="preserve">  This plan received a positive conformity determination </w:t>
      </w:r>
      <w:r w:rsidR="00042202">
        <w:t>from USDOT</w:t>
      </w:r>
      <w:r w:rsidR="006F6195">
        <w:t>, with USEPA concurrence,</w:t>
      </w:r>
      <w:r w:rsidR="00042202">
        <w:t xml:space="preserve"> </w:t>
      </w:r>
      <w:r w:rsidR="005300D6">
        <w:t>on September 6, 2011.</w:t>
      </w:r>
      <w:r>
        <w:t xml:space="preserve">  These projects have been identified by policy makers as the highest priority for transportation investments in the Atlanta region.</w:t>
      </w:r>
    </w:p>
    <w:p w:rsidR="00D71A09" w:rsidRDefault="00D71A09" w:rsidP="00D71A09">
      <w:pPr>
        <w:jc w:val="both"/>
      </w:pPr>
      <w:r>
        <w:t xml:space="preserve">ARC’s travel demand model was most recently calibrated to the year 2000, with some 2005 interim validations and benchmarking thereafter.  Demographic data was developed for use in PLAN 2040 and is outlined </w:t>
      </w:r>
      <w:r w:rsidRPr="00820EC9">
        <w:t xml:space="preserve">in Exhibit </w:t>
      </w:r>
      <w:r w:rsidR="00057EBC" w:rsidRPr="00820EC9">
        <w:t>1</w:t>
      </w:r>
      <w:r w:rsidR="00042202">
        <w:t>C</w:t>
      </w:r>
      <w:r>
        <w:t>.</w:t>
      </w:r>
    </w:p>
    <w:p w:rsidR="00D71A09" w:rsidRDefault="00D71A09" w:rsidP="00D71A09">
      <w:pPr>
        <w:jc w:val="both"/>
      </w:pPr>
      <w:r>
        <w:t>Within the ARC travel demand model and emission</w:t>
      </w:r>
      <w:r w:rsidR="00042202">
        <w:t>s</w:t>
      </w:r>
      <w:r>
        <w:t xml:space="preserve"> modeling process, free flow speeds are adjusted to reflect the increase in delay and travel time on a roadway segment as traffic volumes build and congestion levels increase.  </w:t>
      </w:r>
      <w:r w:rsidR="00820EC9">
        <w:t xml:space="preserve">Table 1 </w:t>
      </w:r>
      <w:r>
        <w:t>illustrates the speeds by facility and area type used in the travel demand model.</w:t>
      </w:r>
    </w:p>
    <w:p w:rsidR="008C617D" w:rsidRDefault="008C617D" w:rsidP="00D71A09">
      <w:pPr>
        <w:jc w:val="both"/>
        <w:rPr>
          <w:highlight w:val="yellow"/>
        </w:rPr>
      </w:pPr>
    </w:p>
    <w:p w:rsidR="008C617D" w:rsidRDefault="008C617D" w:rsidP="00D71A09">
      <w:pPr>
        <w:jc w:val="both"/>
        <w:rPr>
          <w:highlight w:val="yellow"/>
        </w:rPr>
      </w:pPr>
    </w:p>
    <w:p w:rsidR="008C617D" w:rsidRDefault="008C617D" w:rsidP="00D71A09">
      <w:pPr>
        <w:jc w:val="both"/>
        <w:rPr>
          <w:highlight w:val="yellow"/>
        </w:rPr>
      </w:pPr>
    </w:p>
    <w:p w:rsidR="008C617D" w:rsidRDefault="008C617D" w:rsidP="00D71A09">
      <w:pPr>
        <w:jc w:val="both"/>
        <w:rPr>
          <w:highlight w:val="yellow"/>
        </w:rPr>
      </w:pPr>
    </w:p>
    <w:p w:rsidR="005300D6" w:rsidRPr="00820EC9" w:rsidRDefault="00D71A09" w:rsidP="00820EC9">
      <w:pPr>
        <w:jc w:val="center"/>
        <w:rPr>
          <w:b/>
          <w:sz w:val="24"/>
          <w:szCs w:val="24"/>
        </w:rPr>
      </w:pPr>
      <w:r w:rsidRPr="00820EC9">
        <w:rPr>
          <w:b/>
          <w:sz w:val="24"/>
          <w:szCs w:val="24"/>
        </w:rPr>
        <w:lastRenderedPageBreak/>
        <w:t xml:space="preserve">Table </w:t>
      </w:r>
      <w:r w:rsidR="00820EC9" w:rsidRPr="00820EC9">
        <w:rPr>
          <w:b/>
          <w:sz w:val="24"/>
          <w:szCs w:val="24"/>
        </w:rPr>
        <w:t>1</w:t>
      </w:r>
      <w:r w:rsidRPr="00820EC9">
        <w:rPr>
          <w:b/>
          <w:sz w:val="24"/>
          <w:szCs w:val="24"/>
        </w:rPr>
        <w:t xml:space="preserve"> – Speeds by Facility and Area Type in the ARC Travel Demand Model</w:t>
      </w:r>
    </w:p>
    <w:tbl>
      <w:tblPr>
        <w:tblStyle w:val="MediumShading2-Accent11"/>
        <w:tblW w:w="0" w:type="auto"/>
        <w:jc w:val="center"/>
        <w:tblLook w:val="0420"/>
      </w:tblPr>
      <w:tblGrid>
        <w:gridCol w:w="441"/>
        <w:gridCol w:w="1577"/>
        <w:gridCol w:w="1007"/>
        <w:gridCol w:w="957"/>
        <w:gridCol w:w="1060"/>
        <w:gridCol w:w="953"/>
        <w:gridCol w:w="1017"/>
        <w:gridCol w:w="898"/>
        <w:gridCol w:w="655"/>
        <w:gridCol w:w="1011"/>
      </w:tblGrid>
      <w:tr w:rsidR="00AD5DCC" w:rsidRPr="005537E4" w:rsidTr="00E54FD7">
        <w:trPr>
          <w:cnfStyle w:val="100000000000"/>
          <w:cantSplit/>
          <w:trHeight w:val="648"/>
          <w:tblHeader/>
          <w:jc w:val="center"/>
        </w:trPr>
        <w:tc>
          <w:tcPr>
            <w:tcW w:w="0" w:type="auto"/>
            <w:vAlign w:val="center"/>
          </w:tcPr>
          <w:p w:rsidR="005300D6" w:rsidRPr="000B4D69" w:rsidRDefault="005300D6" w:rsidP="00AD5DCC">
            <w:pPr>
              <w:spacing w:after="40"/>
              <w:jc w:val="center"/>
              <w:rPr>
                <w:b w:val="0"/>
              </w:rPr>
            </w:pPr>
          </w:p>
        </w:tc>
        <w:tc>
          <w:tcPr>
            <w:tcW w:w="0" w:type="auto"/>
            <w:vAlign w:val="center"/>
          </w:tcPr>
          <w:p w:rsidR="005300D6" w:rsidRPr="00AD5DCC" w:rsidRDefault="005300D6" w:rsidP="00AD5DCC">
            <w:pPr>
              <w:spacing w:after="40"/>
              <w:jc w:val="center"/>
            </w:pPr>
            <w:r w:rsidRPr="00AD5DCC">
              <w:t>Facility Type</w:t>
            </w:r>
          </w:p>
        </w:tc>
        <w:tc>
          <w:tcPr>
            <w:tcW w:w="0" w:type="auto"/>
            <w:vAlign w:val="center"/>
          </w:tcPr>
          <w:p w:rsidR="005300D6" w:rsidRPr="00AD5DCC" w:rsidRDefault="005300D6" w:rsidP="00AD5DCC">
            <w:pPr>
              <w:spacing w:after="40"/>
              <w:jc w:val="center"/>
              <w:rPr>
                <w:sz w:val="20"/>
                <w:szCs w:val="20"/>
              </w:rPr>
            </w:pPr>
            <w:r w:rsidRPr="00AD5DCC">
              <w:rPr>
                <w:sz w:val="20"/>
                <w:szCs w:val="20"/>
              </w:rPr>
              <w:t>Urban Very High Density</w:t>
            </w:r>
          </w:p>
        </w:tc>
        <w:tc>
          <w:tcPr>
            <w:tcW w:w="0" w:type="auto"/>
            <w:vAlign w:val="center"/>
          </w:tcPr>
          <w:p w:rsidR="005300D6" w:rsidRPr="00AD5DCC" w:rsidRDefault="005300D6" w:rsidP="00AD5DCC">
            <w:pPr>
              <w:spacing w:after="40"/>
              <w:jc w:val="center"/>
              <w:rPr>
                <w:sz w:val="20"/>
                <w:szCs w:val="20"/>
              </w:rPr>
            </w:pPr>
            <w:r w:rsidRPr="00AD5DCC">
              <w:rPr>
                <w:sz w:val="20"/>
                <w:szCs w:val="20"/>
              </w:rPr>
              <w:t>Urban High Density</w:t>
            </w:r>
          </w:p>
        </w:tc>
        <w:tc>
          <w:tcPr>
            <w:tcW w:w="0" w:type="auto"/>
            <w:vAlign w:val="center"/>
          </w:tcPr>
          <w:p w:rsidR="005300D6" w:rsidRPr="00AD5DCC" w:rsidRDefault="005300D6" w:rsidP="00AD5DCC">
            <w:pPr>
              <w:spacing w:after="40"/>
              <w:jc w:val="center"/>
              <w:rPr>
                <w:sz w:val="20"/>
                <w:szCs w:val="20"/>
              </w:rPr>
            </w:pPr>
            <w:r w:rsidRPr="00AD5DCC">
              <w:rPr>
                <w:sz w:val="20"/>
                <w:szCs w:val="20"/>
              </w:rPr>
              <w:t>Urban Medium Density</w:t>
            </w:r>
          </w:p>
        </w:tc>
        <w:tc>
          <w:tcPr>
            <w:tcW w:w="0" w:type="auto"/>
            <w:vAlign w:val="center"/>
          </w:tcPr>
          <w:p w:rsidR="005300D6" w:rsidRPr="00AD5DCC" w:rsidRDefault="005300D6" w:rsidP="00AD5DCC">
            <w:pPr>
              <w:spacing w:after="40"/>
              <w:jc w:val="center"/>
              <w:rPr>
                <w:sz w:val="20"/>
                <w:szCs w:val="20"/>
              </w:rPr>
            </w:pPr>
            <w:r w:rsidRPr="00AD5DCC">
              <w:rPr>
                <w:sz w:val="20"/>
                <w:szCs w:val="20"/>
              </w:rPr>
              <w:t>Urban Low Density</w:t>
            </w:r>
          </w:p>
        </w:tc>
        <w:tc>
          <w:tcPr>
            <w:tcW w:w="0" w:type="auto"/>
            <w:vAlign w:val="center"/>
          </w:tcPr>
          <w:p w:rsidR="005300D6" w:rsidRPr="00AD5DCC" w:rsidRDefault="005300D6" w:rsidP="00AD5DCC">
            <w:pPr>
              <w:spacing w:after="40"/>
              <w:jc w:val="center"/>
              <w:rPr>
                <w:sz w:val="20"/>
                <w:szCs w:val="20"/>
              </w:rPr>
            </w:pPr>
            <w:r w:rsidRPr="00AD5DCC">
              <w:rPr>
                <w:sz w:val="20"/>
                <w:szCs w:val="20"/>
              </w:rPr>
              <w:t>Suburban</w:t>
            </w:r>
          </w:p>
        </w:tc>
        <w:tc>
          <w:tcPr>
            <w:tcW w:w="0" w:type="auto"/>
            <w:vAlign w:val="center"/>
          </w:tcPr>
          <w:p w:rsidR="005300D6" w:rsidRPr="00AD5DCC" w:rsidRDefault="005300D6" w:rsidP="00AD5DCC">
            <w:pPr>
              <w:spacing w:after="40"/>
              <w:jc w:val="center"/>
              <w:rPr>
                <w:sz w:val="20"/>
                <w:szCs w:val="20"/>
              </w:rPr>
            </w:pPr>
            <w:r w:rsidRPr="00AD5DCC">
              <w:rPr>
                <w:sz w:val="20"/>
                <w:szCs w:val="20"/>
              </w:rPr>
              <w:t>Exurban</w:t>
            </w:r>
          </w:p>
        </w:tc>
        <w:tc>
          <w:tcPr>
            <w:tcW w:w="0" w:type="auto"/>
            <w:vAlign w:val="center"/>
          </w:tcPr>
          <w:p w:rsidR="005300D6" w:rsidRPr="00AD5DCC" w:rsidRDefault="005300D6" w:rsidP="00AD5DCC">
            <w:pPr>
              <w:spacing w:after="40"/>
              <w:jc w:val="center"/>
              <w:rPr>
                <w:sz w:val="20"/>
                <w:szCs w:val="20"/>
              </w:rPr>
            </w:pPr>
            <w:r w:rsidRPr="00AD5DCC">
              <w:rPr>
                <w:sz w:val="20"/>
                <w:szCs w:val="20"/>
              </w:rPr>
              <w:t>Rural</w:t>
            </w:r>
          </w:p>
        </w:tc>
        <w:tc>
          <w:tcPr>
            <w:tcW w:w="0" w:type="auto"/>
            <w:vAlign w:val="center"/>
          </w:tcPr>
          <w:p w:rsidR="005300D6" w:rsidRPr="00AD5DCC" w:rsidRDefault="005300D6" w:rsidP="00AD5DCC">
            <w:pPr>
              <w:spacing w:after="40"/>
              <w:jc w:val="center"/>
              <w:rPr>
                <w:sz w:val="20"/>
                <w:szCs w:val="20"/>
              </w:rPr>
            </w:pPr>
            <w:r w:rsidRPr="00AD5DCC">
              <w:rPr>
                <w:sz w:val="20"/>
                <w:szCs w:val="20"/>
              </w:rPr>
              <w:t>Metered Ramps</w:t>
            </w: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0</w:t>
            </w:r>
          </w:p>
        </w:tc>
        <w:tc>
          <w:tcPr>
            <w:tcW w:w="0" w:type="auto"/>
            <w:vAlign w:val="center"/>
          </w:tcPr>
          <w:p w:rsidR="005300D6" w:rsidRPr="005537E4" w:rsidRDefault="005300D6" w:rsidP="00AD5DCC">
            <w:pPr>
              <w:spacing w:after="40"/>
              <w:jc w:val="center"/>
            </w:pPr>
            <w:r w:rsidRPr="005537E4">
              <w:t xml:space="preserve">Zone </w:t>
            </w:r>
            <w:proofErr w:type="spellStart"/>
            <w:r w:rsidRPr="005537E4">
              <w:t>Centroid</w:t>
            </w:r>
            <w:proofErr w:type="spellEnd"/>
            <w:r w:rsidRPr="005537E4">
              <w:t xml:space="preserve"> Connectors</w:t>
            </w:r>
          </w:p>
        </w:tc>
        <w:tc>
          <w:tcPr>
            <w:tcW w:w="0" w:type="auto"/>
            <w:vAlign w:val="center"/>
          </w:tcPr>
          <w:p w:rsidR="005300D6" w:rsidRPr="005537E4" w:rsidRDefault="005300D6" w:rsidP="00AD5DCC">
            <w:pPr>
              <w:spacing w:after="40"/>
              <w:jc w:val="center"/>
            </w:pPr>
            <w:r w:rsidRPr="005537E4">
              <w:t>7</w:t>
            </w:r>
          </w:p>
        </w:tc>
        <w:tc>
          <w:tcPr>
            <w:tcW w:w="0" w:type="auto"/>
            <w:vAlign w:val="center"/>
          </w:tcPr>
          <w:p w:rsidR="005300D6" w:rsidRPr="005537E4" w:rsidRDefault="005300D6" w:rsidP="00AD5DCC">
            <w:pPr>
              <w:spacing w:after="40"/>
              <w:jc w:val="center"/>
            </w:pPr>
            <w:r w:rsidRPr="005537E4">
              <w:t>11</w:t>
            </w:r>
          </w:p>
        </w:tc>
        <w:tc>
          <w:tcPr>
            <w:tcW w:w="0" w:type="auto"/>
            <w:vAlign w:val="center"/>
          </w:tcPr>
          <w:p w:rsidR="005300D6" w:rsidRPr="005537E4" w:rsidRDefault="005300D6" w:rsidP="00AD5DCC">
            <w:pPr>
              <w:spacing w:after="40"/>
              <w:jc w:val="center"/>
            </w:pPr>
            <w:r w:rsidRPr="005537E4">
              <w:t>11</w:t>
            </w:r>
          </w:p>
        </w:tc>
        <w:tc>
          <w:tcPr>
            <w:tcW w:w="0" w:type="auto"/>
            <w:vAlign w:val="center"/>
          </w:tcPr>
          <w:p w:rsidR="005300D6" w:rsidRPr="005537E4" w:rsidRDefault="005300D6" w:rsidP="00AD5DCC">
            <w:pPr>
              <w:spacing w:after="40"/>
              <w:jc w:val="center"/>
            </w:pPr>
            <w:r w:rsidRPr="005537E4">
              <w:t>11</w:t>
            </w:r>
          </w:p>
        </w:tc>
        <w:tc>
          <w:tcPr>
            <w:tcW w:w="0" w:type="auto"/>
            <w:vAlign w:val="center"/>
          </w:tcPr>
          <w:p w:rsidR="005300D6" w:rsidRPr="005537E4" w:rsidRDefault="005300D6" w:rsidP="00AD5DCC">
            <w:pPr>
              <w:spacing w:after="40"/>
              <w:jc w:val="center"/>
            </w:pPr>
            <w:r w:rsidRPr="005537E4">
              <w:t>11</w:t>
            </w:r>
          </w:p>
        </w:tc>
        <w:tc>
          <w:tcPr>
            <w:tcW w:w="0" w:type="auto"/>
            <w:vAlign w:val="center"/>
          </w:tcPr>
          <w:p w:rsidR="005300D6" w:rsidRPr="005537E4" w:rsidRDefault="005300D6" w:rsidP="00AD5DCC">
            <w:pPr>
              <w:spacing w:after="40"/>
              <w:jc w:val="center"/>
            </w:pPr>
            <w:r w:rsidRPr="005537E4">
              <w:t>14</w:t>
            </w:r>
          </w:p>
        </w:tc>
        <w:tc>
          <w:tcPr>
            <w:tcW w:w="0" w:type="auto"/>
            <w:vAlign w:val="center"/>
          </w:tcPr>
          <w:p w:rsidR="005300D6" w:rsidRPr="005537E4" w:rsidRDefault="005300D6" w:rsidP="00AD5DCC">
            <w:pPr>
              <w:spacing w:after="40"/>
              <w:jc w:val="center"/>
            </w:pPr>
            <w:r w:rsidRPr="005537E4">
              <w:t>14</w:t>
            </w:r>
          </w:p>
        </w:tc>
        <w:tc>
          <w:tcPr>
            <w:tcW w:w="0" w:type="auto"/>
            <w:vAlign w:val="center"/>
          </w:tcPr>
          <w:p w:rsidR="005300D6" w:rsidRPr="005537E4" w:rsidRDefault="005300D6" w:rsidP="00AD5DCC">
            <w:pPr>
              <w:spacing w:after="40"/>
              <w:jc w:val="center"/>
            </w:pP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1</w:t>
            </w:r>
          </w:p>
        </w:tc>
        <w:tc>
          <w:tcPr>
            <w:tcW w:w="0" w:type="auto"/>
            <w:vAlign w:val="center"/>
          </w:tcPr>
          <w:p w:rsidR="005300D6" w:rsidRPr="005537E4" w:rsidRDefault="005300D6" w:rsidP="00AD5DCC">
            <w:pPr>
              <w:spacing w:after="40"/>
              <w:jc w:val="center"/>
            </w:pPr>
            <w:r w:rsidRPr="005537E4">
              <w:t>Interstate / Freeway  Free Flow</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r w:rsidRPr="005537E4">
              <w:t>58</w:t>
            </w:r>
          </w:p>
        </w:tc>
        <w:tc>
          <w:tcPr>
            <w:tcW w:w="0" w:type="auto"/>
            <w:vAlign w:val="center"/>
          </w:tcPr>
          <w:p w:rsidR="005300D6" w:rsidRPr="005537E4" w:rsidRDefault="005300D6" w:rsidP="00AD5DCC">
            <w:pPr>
              <w:spacing w:after="40"/>
              <w:jc w:val="center"/>
            </w:pPr>
            <w:r w:rsidRPr="005537E4">
              <w:t>58</w:t>
            </w:r>
          </w:p>
        </w:tc>
        <w:tc>
          <w:tcPr>
            <w:tcW w:w="0" w:type="auto"/>
            <w:vAlign w:val="center"/>
          </w:tcPr>
          <w:p w:rsidR="005300D6" w:rsidRPr="005537E4" w:rsidRDefault="005300D6" w:rsidP="00AD5DCC">
            <w:pPr>
              <w:spacing w:after="40"/>
              <w:jc w:val="center"/>
            </w:pPr>
            <w:r w:rsidRPr="005537E4">
              <w:t>61</w:t>
            </w:r>
          </w:p>
        </w:tc>
        <w:tc>
          <w:tcPr>
            <w:tcW w:w="0" w:type="auto"/>
            <w:vAlign w:val="center"/>
          </w:tcPr>
          <w:p w:rsidR="005300D6" w:rsidRPr="005537E4" w:rsidRDefault="005300D6" w:rsidP="00AD5DCC">
            <w:pPr>
              <w:spacing w:after="40"/>
              <w:jc w:val="center"/>
            </w:pPr>
            <w:r w:rsidRPr="005537E4">
              <w:t>61</w:t>
            </w:r>
          </w:p>
        </w:tc>
        <w:tc>
          <w:tcPr>
            <w:tcW w:w="0" w:type="auto"/>
            <w:vAlign w:val="center"/>
          </w:tcPr>
          <w:p w:rsidR="005300D6" w:rsidRPr="005537E4" w:rsidRDefault="005300D6" w:rsidP="00AD5DCC">
            <w:pPr>
              <w:spacing w:after="40"/>
              <w:jc w:val="center"/>
            </w:pPr>
            <w:r w:rsidRPr="005537E4">
              <w:t>63</w:t>
            </w:r>
          </w:p>
        </w:tc>
        <w:tc>
          <w:tcPr>
            <w:tcW w:w="0" w:type="auto"/>
            <w:vAlign w:val="center"/>
          </w:tcPr>
          <w:p w:rsidR="005300D6" w:rsidRPr="005537E4" w:rsidRDefault="005300D6" w:rsidP="00AD5DCC">
            <w:pPr>
              <w:spacing w:after="40"/>
              <w:jc w:val="center"/>
            </w:pPr>
            <w:r w:rsidRPr="005537E4">
              <w:t>65</w:t>
            </w:r>
          </w:p>
        </w:tc>
        <w:tc>
          <w:tcPr>
            <w:tcW w:w="0" w:type="auto"/>
            <w:vAlign w:val="center"/>
          </w:tcPr>
          <w:p w:rsidR="005300D6" w:rsidRPr="005537E4" w:rsidRDefault="005300D6" w:rsidP="00AD5DCC">
            <w:pPr>
              <w:spacing w:after="40"/>
              <w:jc w:val="center"/>
            </w:pP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2</w:t>
            </w:r>
          </w:p>
        </w:tc>
        <w:tc>
          <w:tcPr>
            <w:tcW w:w="0" w:type="auto"/>
            <w:vAlign w:val="center"/>
          </w:tcPr>
          <w:p w:rsidR="005300D6" w:rsidRPr="005537E4" w:rsidRDefault="005300D6" w:rsidP="00AD5DCC">
            <w:pPr>
              <w:spacing w:after="40"/>
              <w:jc w:val="center"/>
            </w:pPr>
            <w:r w:rsidRPr="005537E4">
              <w:t>Parkway</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r w:rsidRPr="005537E4">
              <w:t>57</w:t>
            </w:r>
          </w:p>
        </w:tc>
        <w:tc>
          <w:tcPr>
            <w:tcW w:w="0" w:type="auto"/>
            <w:vAlign w:val="center"/>
          </w:tcPr>
          <w:p w:rsidR="005300D6" w:rsidRPr="005537E4" w:rsidRDefault="005300D6" w:rsidP="00AD5DCC">
            <w:pPr>
              <w:spacing w:after="40"/>
              <w:jc w:val="center"/>
            </w:pPr>
            <w:r w:rsidRPr="005537E4">
              <w:t>60</w:t>
            </w:r>
          </w:p>
        </w:tc>
        <w:tc>
          <w:tcPr>
            <w:tcW w:w="0" w:type="auto"/>
            <w:vAlign w:val="center"/>
          </w:tcPr>
          <w:p w:rsidR="005300D6" w:rsidRPr="005537E4" w:rsidRDefault="005300D6" w:rsidP="00AD5DCC">
            <w:pPr>
              <w:spacing w:after="40"/>
              <w:jc w:val="center"/>
            </w:pPr>
            <w:r w:rsidRPr="005537E4">
              <w:t>60</w:t>
            </w:r>
          </w:p>
        </w:tc>
        <w:tc>
          <w:tcPr>
            <w:tcW w:w="0" w:type="auto"/>
            <w:vAlign w:val="center"/>
          </w:tcPr>
          <w:p w:rsidR="005300D6" w:rsidRPr="005537E4" w:rsidRDefault="005300D6" w:rsidP="00AD5DCC">
            <w:pPr>
              <w:spacing w:after="40"/>
              <w:jc w:val="center"/>
            </w:pP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3</w:t>
            </w:r>
          </w:p>
        </w:tc>
        <w:tc>
          <w:tcPr>
            <w:tcW w:w="0" w:type="auto"/>
            <w:vAlign w:val="center"/>
          </w:tcPr>
          <w:p w:rsidR="005300D6" w:rsidRPr="005537E4" w:rsidRDefault="005300D6" w:rsidP="00AD5DCC">
            <w:pPr>
              <w:spacing w:after="40"/>
              <w:jc w:val="center"/>
            </w:pPr>
            <w:r w:rsidRPr="005537E4">
              <w:t>HOV Buffer Separated</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r w:rsidRPr="005537E4">
              <w:t>58</w:t>
            </w:r>
          </w:p>
        </w:tc>
        <w:tc>
          <w:tcPr>
            <w:tcW w:w="0" w:type="auto"/>
            <w:vAlign w:val="center"/>
          </w:tcPr>
          <w:p w:rsidR="005300D6" w:rsidRPr="005537E4" w:rsidRDefault="005300D6" w:rsidP="00AD5DCC">
            <w:pPr>
              <w:spacing w:after="40"/>
              <w:jc w:val="center"/>
            </w:pPr>
            <w:r w:rsidRPr="005537E4">
              <w:t>58</w:t>
            </w:r>
          </w:p>
        </w:tc>
        <w:tc>
          <w:tcPr>
            <w:tcW w:w="0" w:type="auto"/>
            <w:vAlign w:val="center"/>
          </w:tcPr>
          <w:p w:rsidR="005300D6" w:rsidRPr="005537E4" w:rsidRDefault="005300D6" w:rsidP="00AD5DCC">
            <w:pPr>
              <w:spacing w:after="40"/>
              <w:jc w:val="center"/>
            </w:pPr>
            <w:r w:rsidRPr="005537E4">
              <w:t>61</w:t>
            </w:r>
          </w:p>
        </w:tc>
        <w:tc>
          <w:tcPr>
            <w:tcW w:w="0" w:type="auto"/>
            <w:vAlign w:val="center"/>
          </w:tcPr>
          <w:p w:rsidR="005300D6" w:rsidRPr="005537E4" w:rsidRDefault="005300D6" w:rsidP="00AD5DCC">
            <w:pPr>
              <w:spacing w:after="40"/>
              <w:jc w:val="center"/>
            </w:pPr>
            <w:r w:rsidRPr="005537E4">
              <w:t>61</w:t>
            </w:r>
          </w:p>
        </w:tc>
        <w:tc>
          <w:tcPr>
            <w:tcW w:w="0" w:type="auto"/>
            <w:vAlign w:val="center"/>
          </w:tcPr>
          <w:p w:rsidR="005300D6" w:rsidRPr="005537E4" w:rsidRDefault="005300D6" w:rsidP="00AD5DCC">
            <w:pPr>
              <w:spacing w:after="40"/>
              <w:jc w:val="center"/>
            </w:pPr>
            <w:r w:rsidRPr="005537E4">
              <w:t>63</w:t>
            </w:r>
          </w:p>
        </w:tc>
        <w:tc>
          <w:tcPr>
            <w:tcW w:w="0" w:type="auto"/>
            <w:vAlign w:val="center"/>
          </w:tcPr>
          <w:p w:rsidR="005300D6" w:rsidRPr="005537E4" w:rsidRDefault="005300D6" w:rsidP="00AD5DCC">
            <w:pPr>
              <w:spacing w:after="40"/>
              <w:jc w:val="center"/>
            </w:pPr>
            <w:r w:rsidRPr="005537E4">
              <w:t>65</w:t>
            </w:r>
          </w:p>
        </w:tc>
        <w:tc>
          <w:tcPr>
            <w:tcW w:w="0" w:type="auto"/>
            <w:vAlign w:val="center"/>
          </w:tcPr>
          <w:p w:rsidR="005300D6" w:rsidRPr="005537E4" w:rsidRDefault="005300D6" w:rsidP="00AD5DCC">
            <w:pPr>
              <w:spacing w:after="40"/>
              <w:jc w:val="center"/>
            </w:pPr>
          </w:p>
        </w:tc>
      </w:tr>
      <w:tr w:rsidR="00AD5DCC" w:rsidRPr="005537E4" w:rsidTr="008C617D">
        <w:trPr>
          <w:cnfStyle w:val="000000100000"/>
          <w:cantSplit/>
          <w:trHeight w:val="255"/>
          <w:jc w:val="center"/>
        </w:trPr>
        <w:tc>
          <w:tcPr>
            <w:tcW w:w="0" w:type="auto"/>
            <w:vAlign w:val="center"/>
          </w:tcPr>
          <w:p w:rsidR="005300D6" w:rsidRPr="005537E4" w:rsidRDefault="005300D6" w:rsidP="00AD5DCC">
            <w:pPr>
              <w:spacing w:after="40"/>
              <w:jc w:val="center"/>
            </w:pPr>
            <w:r w:rsidRPr="005537E4">
              <w:t>4</w:t>
            </w:r>
          </w:p>
        </w:tc>
        <w:tc>
          <w:tcPr>
            <w:tcW w:w="0" w:type="auto"/>
            <w:vAlign w:val="center"/>
          </w:tcPr>
          <w:p w:rsidR="005300D6" w:rsidRPr="005537E4" w:rsidRDefault="005300D6" w:rsidP="00AD5DCC">
            <w:pPr>
              <w:spacing w:after="40"/>
              <w:jc w:val="center"/>
            </w:pPr>
            <w:r w:rsidRPr="005537E4">
              <w:t>HOV Barrier Separated</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r w:rsidRPr="005537E4">
              <w:t>58</w:t>
            </w:r>
          </w:p>
        </w:tc>
        <w:tc>
          <w:tcPr>
            <w:tcW w:w="0" w:type="auto"/>
            <w:vAlign w:val="center"/>
          </w:tcPr>
          <w:p w:rsidR="005300D6" w:rsidRPr="005537E4" w:rsidRDefault="005300D6" w:rsidP="00AD5DCC">
            <w:pPr>
              <w:spacing w:after="40"/>
              <w:jc w:val="center"/>
            </w:pPr>
            <w:r w:rsidRPr="005537E4">
              <w:t>58</w:t>
            </w:r>
          </w:p>
        </w:tc>
        <w:tc>
          <w:tcPr>
            <w:tcW w:w="0" w:type="auto"/>
            <w:vAlign w:val="center"/>
          </w:tcPr>
          <w:p w:rsidR="005300D6" w:rsidRPr="005537E4" w:rsidRDefault="005300D6" w:rsidP="00AD5DCC">
            <w:pPr>
              <w:spacing w:after="40"/>
              <w:jc w:val="center"/>
            </w:pPr>
            <w:r w:rsidRPr="005537E4">
              <w:t>61</w:t>
            </w:r>
          </w:p>
        </w:tc>
        <w:tc>
          <w:tcPr>
            <w:tcW w:w="0" w:type="auto"/>
            <w:shd w:val="clear" w:color="auto" w:fill="D9D9D9" w:themeFill="background1" w:themeFillShade="D9"/>
            <w:vAlign w:val="center"/>
          </w:tcPr>
          <w:p w:rsidR="005300D6" w:rsidRPr="005537E4" w:rsidRDefault="005300D6" w:rsidP="00AD5DCC">
            <w:pPr>
              <w:spacing w:after="40"/>
              <w:jc w:val="center"/>
            </w:pPr>
            <w:r w:rsidRPr="005537E4">
              <w:t>61</w:t>
            </w:r>
          </w:p>
        </w:tc>
        <w:tc>
          <w:tcPr>
            <w:tcW w:w="0" w:type="auto"/>
            <w:vAlign w:val="center"/>
          </w:tcPr>
          <w:p w:rsidR="005300D6" w:rsidRPr="005537E4" w:rsidRDefault="005300D6" w:rsidP="00AD5DCC">
            <w:pPr>
              <w:spacing w:after="40"/>
              <w:jc w:val="center"/>
            </w:pPr>
            <w:r w:rsidRPr="005537E4">
              <w:t>63</w:t>
            </w:r>
          </w:p>
        </w:tc>
        <w:tc>
          <w:tcPr>
            <w:tcW w:w="0" w:type="auto"/>
            <w:vAlign w:val="center"/>
          </w:tcPr>
          <w:p w:rsidR="005300D6" w:rsidRPr="005537E4" w:rsidRDefault="005300D6" w:rsidP="00AD5DCC">
            <w:pPr>
              <w:spacing w:after="40"/>
              <w:jc w:val="center"/>
            </w:pPr>
            <w:r w:rsidRPr="005537E4">
              <w:t>65</w:t>
            </w:r>
          </w:p>
        </w:tc>
        <w:tc>
          <w:tcPr>
            <w:tcW w:w="0" w:type="auto"/>
            <w:vAlign w:val="center"/>
          </w:tcPr>
          <w:p w:rsidR="005300D6" w:rsidRPr="005537E4" w:rsidRDefault="005300D6" w:rsidP="00AD5DCC">
            <w:pPr>
              <w:spacing w:after="40"/>
              <w:jc w:val="center"/>
            </w:pP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5</w:t>
            </w:r>
          </w:p>
        </w:tc>
        <w:tc>
          <w:tcPr>
            <w:tcW w:w="0" w:type="auto"/>
            <w:vAlign w:val="center"/>
          </w:tcPr>
          <w:p w:rsidR="005300D6" w:rsidRPr="005537E4" w:rsidRDefault="005300D6" w:rsidP="00AD5DCC">
            <w:pPr>
              <w:spacing w:after="40"/>
              <w:jc w:val="center"/>
            </w:pPr>
            <w:r w:rsidRPr="005537E4">
              <w:t>High Speed Ramp / CD Road</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r w:rsidRPr="005537E4">
              <w:t>57</w:t>
            </w:r>
          </w:p>
        </w:tc>
        <w:tc>
          <w:tcPr>
            <w:tcW w:w="0" w:type="auto"/>
            <w:vAlign w:val="center"/>
          </w:tcPr>
          <w:p w:rsidR="005300D6" w:rsidRPr="005537E4" w:rsidRDefault="005300D6" w:rsidP="00AD5DCC">
            <w:pPr>
              <w:spacing w:after="40"/>
              <w:jc w:val="center"/>
            </w:pPr>
            <w:r w:rsidRPr="005537E4">
              <w:t>60</w:t>
            </w:r>
          </w:p>
        </w:tc>
        <w:tc>
          <w:tcPr>
            <w:tcW w:w="0" w:type="auto"/>
            <w:vAlign w:val="center"/>
          </w:tcPr>
          <w:p w:rsidR="005300D6" w:rsidRPr="005537E4" w:rsidRDefault="005300D6" w:rsidP="00AD5DCC">
            <w:pPr>
              <w:spacing w:after="40"/>
              <w:jc w:val="center"/>
            </w:pPr>
            <w:r w:rsidRPr="005537E4">
              <w:t>60</w:t>
            </w:r>
          </w:p>
        </w:tc>
        <w:tc>
          <w:tcPr>
            <w:tcW w:w="0" w:type="auto"/>
            <w:vAlign w:val="center"/>
          </w:tcPr>
          <w:p w:rsidR="005300D6" w:rsidRPr="005537E4" w:rsidRDefault="005300D6" w:rsidP="00AD5DCC">
            <w:pPr>
              <w:spacing w:after="40"/>
              <w:jc w:val="center"/>
            </w:pPr>
            <w:r w:rsidRPr="005537E4">
              <w:t>15</w:t>
            </w: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6</w:t>
            </w:r>
          </w:p>
        </w:tc>
        <w:tc>
          <w:tcPr>
            <w:tcW w:w="0" w:type="auto"/>
            <w:vAlign w:val="center"/>
          </w:tcPr>
          <w:p w:rsidR="005300D6" w:rsidRPr="005537E4" w:rsidRDefault="005300D6" w:rsidP="00AD5DCC">
            <w:pPr>
              <w:spacing w:after="40"/>
              <w:jc w:val="center"/>
            </w:pPr>
            <w:r w:rsidRPr="005537E4">
              <w:t>Medium Speed Ramp</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50</w:t>
            </w:r>
          </w:p>
        </w:tc>
        <w:tc>
          <w:tcPr>
            <w:tcW w:w="0" w:type="auto"/>
            <w:vAlign w:val="center"/>
          </w:tcPr>
          <w:p w:rsidR="005300D6" w:rsidRPr="005537E4" w:rsidRDefault="005300D6" w:rsidP="00AD5DCC">
            <w:pPr>
              <w:spacing w:after="40"/>
              <w:jc w:val="center"/>
            </w:pPr>
            <w:r w:rsidRPr="005537E4">
              <w:t>10</w:t>
            </w: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7</w:t>
            </w:r>
          </w:p>
        </w:tc>
        <w:tc>
          <w:tcPr>
            <w:tcW w:w="0" w:type="auto"/>
            <w:vAlign w:val="center"/>
          </w:tcPr>
          <w:p w:rsidR="005300D6" w:rsidRPr="005537E4" w:rsidRDefault="005300D6" w:rsidP="00AD5DCC">
            <w:pPr>
              <w:spacing w:after="40"/>
              <w:jc w:val="center"/>
            </w:pPr>
            <w:r w:rsidRPr="005537E4">
              <w:t>Low Speed Ramp</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10</w:t>
            </w: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8</w:t>
            </w:r>
          </w:p>
        </w:tc>
        <w:tc>
          <w:tcPr>
            <w:tcW w:w="0" w:type="auto"/>
            <w:vAlign w:val="center"/>
          </w:tcPr>
          <w:p w:rsidR="005300D6" w:rsidRPr="005537E4" w:rsidRDefault="005300D6" w:rsidP="00AD5DCC">
            <w:pPr>
              <w:spacing w:after="40"/>
              <w:jc w:val="center"/>
            </w:pPr>
            <w:r w:rsidRPr="005537E4">
              <w:t>Loop Ramp</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10</w:t>
            </w: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9</w:t>
            </w:r>
          </w:p>
        </w:tc>
        <w:tc>
          <w:tcPr>
            <w:tcW w:w="0" w:type="auto"/>
            <w:vAlign w:val="center"/>
          </w:tcPr>
          <w:p w:rsidR="005300D6" w:rsidRPr="005537E4" w:rsidRDefault="005300D6" w:rsidP="00AD5DCC">
            <w:pPr>
              <w:spacing w:after="40"/>
              <w:jc w:val="center"/>
            </w:pPr>
            <w:r w:rsidRPr="005537E4">
              <w:t>Off Ramp w/ Intersection</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10</w:t>
            </w:r>
          </w:p>
        </w:tc>
        <w:tc>
          <w:tcPr>
            <w:tcW w:w="0" w:type="auto"/>
            <w:vAlign w:val="center"/>
          </w:tcPr>
          <w:p w:rsidR="005300D6" w:rsidRPr="005537E4" w:rsidRDefault="005300D6" w:rsidP="00AD5DCC">
            <w:pPr>
              <w:spacing w:after="40"/>
              <w:jc w:val="center"/>
            </w:pPr>
            <w:r w:rsidRPr="005537E4">
              <w:t>On Ramp w/ Intersection</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5</w:t>
            </w: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11</w:t>
            </w:r>
          </w:p>
        </w:tc>
        <w:tc>
          <w:tcPr>
            <w:tcW w:w="0" w:type="auto"/>
            <w:vAlign w:val="center"/>
          </w:tcPr>
          <w:p w:rsidR="005300D6" w:rsidRPr="005537E4" w:rsidRDefault="005300D6" w:rsidP="00AD5DCC">
            <w:pPr>
              <w:spacing w:after="40"/>
              <w:jc w:val="center"/>
            </w:pPr>
            <w:r w:rsidRPr="005537E4">
              <w:t>Expressway</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42</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r w:rsidRPr="005537E4">
              <w:t>48</w:t>
            </w:r>
          </w:p>
        </w:tc>
        <w:tc>
          <w:tcPr>
            <w:tcW w:w="0" w:type="auto"/>
            <w:vAlign w:val="center"/>
          </w:tcPr>
          <w:p w:rsidR="005300D6" w:rsidRPr="005537E4" w:rsidRDefault="005300D6" w:rsidP="00AD5DCC">
            <w:pPr>
              <w:spacing w:after="40"/>
              <w:jc w:val="center"/>
            </w:pPr>
            <w:r w:rsidRPr="005537E4">
              <w:t>52</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r w:rsidRPr="005537E4">
              <w:t>60</w:t>
            </w:r>
          </w:p>
        </w:tc>
        <w:tc>
          <w:tcPr>
            <w:tcW w:w="0" w:type="auto"/>
            <w:vAlign w:val="center"/>
          </w:tcPr>
          <w:p w:rsidR="005300D6" w:rsidRPr="005537E4" w:rsidRDefault="005300D6" w:rsidP="00AD5DCC">
            <w:pPr>
              <w:spacing w:after="40"/>
              <w:jc w:val="center"/>
            </w:pP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12</w:t>
            </w:r>
          </w:p>
        </w:tc>
        <w:tc>
          <w:tcPr>
            <w:tcW w:w="0" w:type="auto"/>
            <w:vAlign w:val="center"/>
          </w:tcPr>
          <w:p w:rsidR="005300D6" w:rsidRPr="005537E4" w:rsidRDefault="005300D6" w:rsidP="00AD5DCC">
            <w:pPr>
              <w:spacing w:after="40"/>
              <w:jc w:val="center"/>
            </w:pPr>
            <w:r w:rsidRPr="005537E4">
              <w:t>Principal Arterial - Class I</w:t>
            </w:r>
          </w:p>
        </w:tc>
        <w:tc>
          <w:tcPr>
            <w:tcW w:w="0" w:type="auto"/>
            <w:vAlign w:val="center"/>
          </w:tcPr>
          <w:p w:rsidR="005300D6" w:rsidRPr="005537E4" w:rsidRDefault="005300D6" w:rsidP="00AD5DCC">
            <w:pPr>
              <w:spacing w:after="40"/>
              <w:jc w:val="center"/>
            </w:pPr>
            <w:r w:rsidRPr="005537E4">
              <w:t>26</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33</w:t>
            </w:r>
          </w:p>
        </w:tc>
        <w:tc>
          <w:tcPr>
            <w:tcW w:w="0" w:type="auto"/>
            <w:vAlign w:val="center"/>
          </w:tcPr>
          <w:p w:rsidR="005300D6" w:rsidRPr="005537E4" w:rsidRDefault="005300D6" w:rsidP="00AD5DCC">
            <w:pPr>
              <w:spacing w:after="40"/>
              <w:jc w:val="center"/>
            </w:pPr>
            <w:r w:rsidRPr="005537E4">
              <w:t>36</w:t>
            </w:r>
          </w:p>
        </w:tc>
        <w:tc>
          <w:tcPr>
            <w:tcW w:w="0" w:type="auto"/>
            <w:vAlign w:val="center"/>
          </w:tcPr>
          <w:p w:rsidR="005300D6" w:rsidRPr="005537E4" w:rsidRDefault="005300D6" w:rsidP="00AD5DCC">
            <w:pPr>
              <w:spacing w:after="40"/>
              <w:jc w:val="center"/>
            </w:pPr>
            <w:r w:rsidRPr="005537E4">
              <w:t>42</w:t>
            </w:r>
          </w:p>
        </w:tc>
        <w:tc>
          <w:tcPr>
            <w:tcW w:w="0" w:type="auto"/>
            <w:vAlign w:val="center"/>
          </w:tcPr>
          <w:p w:rsidR="005300D6" w:rsidRPr="005537E4" w:rsidRDefault="005300D6" w:rsidP="00AD5DCC">
            <w:pPr>
              <w:spacing w:after="40"/>
              <w:jc w:val="center"/>
            </w:pPr>
            <w:r w:rsidRPr="005537E4">
              <w:t>46</w:t>
            </w:r>
          </w:p>
        </w:tc>
        <w:tc>
          <w:tcPr>
            <w:tcW w:w="0" w:type="auto"/>
            <w:vAlign w:val="center"/>
          </w:tcPr>
          <w:p w:rsidR="005300D6" w:rsidRPr="005537E4" w:rsidRDefault="005300D6" w:rsidP="00AD5DCC">
            <w:pPr>
              <w:spacing w:after="40"/>
              <w:jc w:val="center"/>
            </w:pPr>
            <w:r w:rsidRPr="005537E4">
              <w:t>55</w:t>
            </w:r>
          </w:p>
        </w:tc>
        <w:tc>
          <w:tcPr>
            <w:tcW w:w="0" w:type="auto"/>
            <w:vAlign w:val="center"/>
          </w:tcPr>
          <w:p w:rsidR="005300D6" w:rsidRPr="005537E4" w:rsidRDefault="005300D6" w:rsidP="00AD5DCC">
            <w:pPr>
              <w:spacing w:after="40"/>
              <w:jc w:val="center"/>
            </w:pP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13</w:t>
            </w:r>
          </w:p>
        </w:tc>
        <w:tc>
          <w:tcPr>
            <w:tcW w:w="0" w:type="auto"/>
            <w:vAlign w:val="center"/>
          </w:tcPr>
          <w:p w:rsidR="005300D6" w:rsidRPr="005537E4" w:rsidRDefault="005300D6" w:rsidP="00AD5DCC">
            <w:pPr>
              <w:spacing w:after="40"/>
              <w:jc w:val="center"/>
            </w:pPr>
            <w:r w:rsidRPr="005537E4">
              <w:t>Principal Arterial - Class II</w:t>
            </w:r>
          </w:p>
        </w:tc>
        <w:tc>
          <w:tcPr>
            <w:tcW w:w="0" w:type="auto"/>
            <w:vAlign w:val="center"/>
          </w:tcPr>
          <w:p w:rsidR="005300D6" w:rsidRPr="005537E4" w:rsidRDefault="005300D6" w:rsidP="00AD5DCC">
            <w:pPr>
              <w:spacing w:after="40"/>
              <w:jc w:val="center"/>
            </w:pPr>
            <w:r w:rsidRPr="005537E4">
              <w:t>24</w:t>
            </w:r>
          </w:p>
        </w:tc>
        <w:tc>
          <w:tcPr>
            <w:tcW w:w="0" w:type="auto"/>
            <w:vAlign w:val="center"/>
          </w:tcPr>
          <w:p w:rsidR="005300D6" w:rsidRPr="005537E4" w:rsidRDefault="005300D6" w:rsidP="00AD5DCC">
            <w:pPr>
              <w:spacing w:after="40"/>
              <w:jc w:val="center"/>
            </w:pPr>
            <w:r w:rsidRPr="005537E4">
              <w:t>27</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34</w:t>
            </w:r>
          </w:p>
        </w:tc>
        <w:tc>
          <w:tcPr>
            <w:tcW w:w="0" w:type="auto"/>
            <w:vAlign w:val="center"/>
          </w:tcPr>
          <w:p w:rsidR="005300D6" w:rsidRPr="005537E4" w:rsidRDefault="005300D6" w:rsidP="00AD5DCC">
            <w:pPr>
              <w:spacing w:after="40"/>
              <w:jc w:val="center"/>
            </w:pPr>
            <w:r w:rsidRPr="005537E4">
              <w:t>40</w:t>
            </w:r>
          </w:p>
        </w:tc>
        <w:tc>
          <w:tcPr>
            <w:tcW w:w="0" w:type="auto"/>
            <w:vAlign w:val="center"/>
          </w:tcPr>
          <w:p w:rsidR="005300D6" w:rsidRPr="005537E4" w:rsidRDefault="005300D6" w:rsidP="00AD5DCC">
            <w:pPr>
              <w:spacing w:after="40"/>
              <w:jc w:val="center"/>
            </w:pPr>
            <w:r w:rsidRPr="005537E4">
              <w:t>44</w:t>
            </w:r>
          </w:p>
        </w:tc>
        <w:tc>
          <w:tcPr>
            <w:tcW w:w="0" w:type="auto"/>
            <w:vAlign w:val="center"/>
          </w:tcPr>
          <w:p w:rsidR="005300D6" w:rsidRPr="005537E4" w:rsidRDefault="005300D6" w:rsidP="00AD5DCC">
            <w:pPr>
              <w:spacing w:after="40"/>
              <w:jc w:val="center"/>
            </w:pPr>
            <w:r w:rsidRPr="005537E4">
              <w:t>48</w:t>
            </w:r>
          </w:p>
        </w:tc>
        <w:tc>
          <w:tcPr>
            <w:tcW w:w="0" w:type="auto"/>
            <w:vAlign w:val="center"/>
          </w:tcPr>
          <w:p w:rsidR="005300D6" w:rsidRPr="005537E4" w:rsidRDefault="005300D6" w:rsidP="00AD5DCC">
            <w:pPr>
              <w:spacing w:after="40"/>
              <w:jc w:val="center"/>
            </w:pP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14</w:t>
            </w:r>
          </w:p>
        </w:tc>
        <w:tc>
          <w:tcPr>
            <w:tcW w:w="0" w:type="auto"/>
            <w:vAlign w:val="center"/>
          </w:tcPr>
          <w:p w:rsidR="005300D6" w:rsidRPr="005537E4" w:rsidRDefault="005300D6" w:rsidP="00AD5DCC">
            <w:pPr>
              <w:spacing w:after="40"/>
              <w:jc w:val="center"/>
            </w:pPr>
            <w:r w:rsidRPr="005537E4">
              <w:t>Minor Arterial - Class I</w:t>
            </w:r>
          </w:p>
        </w:tc>
        <w:tc>
          <w:tcPr>
            <w:tcW w:w="0" w:type="auto"/>
            <w:vAlign w:val="center"/>
          </w:tcPr>
          <w:p w:rsidR="005300D6" w:rsidRPr="005537E4" w:rsidRDefault="005300D6" w:rsidP="00AD5DCC">
            <w:pPr>
              <w:spacing w:after="40"/>
              <w:jc w:val="center"/>
            </w:pPr>
            <w:r w:rsidRPr="005537E4">
              <w:t>22</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r w:rsidRPr="005537E4">
              <w:t>28</w:t>
            </w:r>
          </w:p>
        </w:tc>
        <w:tc>
          <w:tcPr>
            <w:tcW w:w="0" w:type="auto"/>
            <w:vAlign w:val="center"/>
          </w:tcPr>
          <w:p w:rsidR="005300D6" w:rsidRPr="005537E4" w:rsidRDefault="005300D6" w:rsidP="00AD5DCC">
            <w:pPr>
              <w:spacing w:after="40"/>
              <w:jc w:val="center"/>
            </w:pPr>
            <w:r w:rsidRPr="005537E4">
              <w:t>31</w:t>
            </w:r>
          </w:p>
        </w:tc>
        <w:tc>
          <w:tcPr>
            <w:tcW w:w="0" w:type="auto"/>
            <w:vAlign w:val="center"/>
          </w:tcPr>
          <w:p w:rsidR="005300D6" w:rsidRPr="005537E4" w:rsidRDefault="005300D6" w:rsidP="00AD5DCC">
            <w:pPr>
              <w:spacing w:after="40"/>
              <w:jc w:val="center"/>
            </w:pPr>
            <w:r w:rsidRPr="005537E4">
              <w:t>38</w:t>
            </w:r>
          </w:p>
        </w:tc>
        <w:tc>
          <w:tcPr>
            <w:tcW w:w="0" w:type="auto"/>
            <w:vAlign w:val="center"/>
          </w:tcPr>
          <w:p w:rsidR="005300D6" w:rsidRPr="005537E4" w:rsidRDefault="005300D6" w:rsidP="00AD5DCC">
            <w:pPr>
              <w:spacing w:after="40"/>
              <w:jc w:val="center"/>
            </w:pPr>
            <w:r w:rsidRPr="005537E4">
              <w:t>42</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15</w:t>
            </w:r>
          </w:p>
        </w:tc>
        <w:tc>
          <w:tcPr>
            <w:tcW w:w="0" w:type="auto"/>
            <w:vAlign w:val="center"/>
          </w:tcPr>
          <w:p w:rsidR="005300D6" w:rsidRPr="005537E4" w:rsidRDefault="005300D6" w:rsidP="00AD5DCC">
            <w:pPr>
              <w:spacing w:after="40"/>
              <w:jc w:val="center"/>
            </w:pPr>
            <w:r w:rsidRPr="005537E4">
              <w:t>Minor Arterial - Class II</w:t>
            </w:r>
          </w:p>
        </w:tc>
        <w:tc>
          <w:tcPr>
            <w:tcW w:w="0" w:type="auto"/>
            <w:vAlign w:val="center"/>
          </w:tcPr>
          <w:p w:rsidR="005300D6" w:rsidRPr="005537E4" w:rsidRDefault="005300D6" w:rsidP="00AD5DCC">
            <w:pPr>
              <w:spacing w:after="40"/>
              <w:jc w:val="center"/>
            </w:pPr>
            <w:r w:rsidRPr="005537E4">
              <w:t>20</w:t>
            </w:r>
          </w:p>
        </w:tc>
        <w:tc>
          <w:tcPr>
            <w:tcW w:w="0" w:type="auto"/>
            <w:vAlign w:val="center"/>
          </w:tcPr>
          <w:p w:rsidR="005300D6" w:rsidRPr="005537E4" w:rsidRDefault="005300D6" w:rsidP="00AD5DCC">
            <w:pPr>
              <w:spacing w:after="40"/>
              <w:jc w:val="center"/>
            </w:pPr>
            <w:r w:rsidRPr="005537E4">
              <w:t>23</w:t>
            </w:r>
          </w:p>
        </w:tc>
        <w:tc>
          <w:tcPr>
            <w:tcW w:w="0" w:type="auto"/>
            <w:vAlign w:val="center"/>
          </w:tcPr>
          <w:p w:rsidR="005300D6" w:rsidRPr="005537E4" w:rsidRDefault="005300D6" w:rsidP="00AD5DCC">
            <w:pPr>
              <w:spacing w:after="40"/>
              <w:jc w:val="center"/>
            </w:pPr>
            <w:r w:rsidRPr="005537E4">
              <w:t>26</w:t>
            </w:r>
          </w:p>
        </w:tc>
        <w:tc>
          <w:tcPr>
            <w:tcW w:w="0" w:type="auto"/>
            <w:vAlign w:val="center"/>
          </w:tcPr>
          <w:p w:rsidR="005300D6" w:rsidRPr="005537E4" w:rsidRDefault="005300D6" w:rsidP="00AD5DCC">
            <w:pPr>
              <w:spacing w:after="40"/>
              <w:jc w:val="center"/>
            </w:pPr>
            <w:r w:rsidRPr="005537E4">
              <w:t>29</w:t>
            </w:r>
          </w:p>
        </w:tc>
        <w:tc>
          <w:tcPr>
            <w:tcW w:w="0" w:type="auto"/>
            <w:vAlign w:val="center"/>
          </w:tcPr>
          <w:p w:rsidR="005300D6" w:rsidRPr="005537E4" w:rsidRDefault="005300D6" w:rsidP="00AD5DCC">
            <w:pPr>
              <w:spacing w:after="40"/>
              <w:jc w:val="center"/>
            </w:pPr>
            <w:r w:rsidRPr="005537E4">
              <w:t>34</w:t>
            </w:r>
          </w:p>
        </w:tc>
        <w:tc>
          <w:tcPr>
            <w:tcW w:w="0" w:type="auto"/>
            <w:vAlign w:val="center"/>
          </w:tcPr>
          <w:p w:rsidR="005300D6" w:rsidRPr="005537E4" w:rsidRDefault="005300D6" w:rsidP="00AD5DCC">
            <w:pPr>
              <w:spacing w:after="40"/>
              <w:jc w:val="center"/>
            </w:pPr>
            <w:r w:rsidRPr="005537E4">
              <w:t>38</w:t>
            </w:r>
          </w:p>
        </w:tc>
        <w:tc>
          <w:tcPr>
            <w:tcW w:w="0" w:type="auto"/>
            <w:vAlign w:val="center"/>
          </w:tcPr>
          <w:p w:rsidR="005300D6" w:rsidRPr="005537E4" w:rsidRDefault="005300D6" w:rsidP="00AD5DCC">
            <w:pPr>
              <w:spacing w:after="40"/>
              <w:jc w:val="center"/>
            </w:pPr>
            <w:r w:rsidRPr="005537E4">
              <w:t>42</w:t>
            </w:r>
          </w:p>
        </w:tc>
        <w:tc>
          <w:tcPr>
            <w:tcW w:w="0" w:type="auto"/>
            <w:vAlign w:val="center"/>
          </w:tcPr>
          <w:p w:rsidR="005300D6" w:rsidRPr="005537E4" w:rsidRDefault="005300D6" w:rsidP="00AD5DCC">
            <w:pPr>
              <w:spacing w:after="40"/>
              <w:jc w:val="center"/>
            </w:pP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16</w:t>
            </w:r>
          </w:p>
        </w:tc>
        <w:tc>
          <w:tcPr>
            <w:tcW w:w="0" w:type="auto"/>
            <w:vAlign w:val="center"/>
          </w:tcPr>
          <w:p w:rsidR="005300D6" w:rsidRPr="005537E4" w:rsidRDefault="005300D6" w:rsidP="00AD5DCC">
            <w:pPr>
              <w:spacing w:after="40"/>
              <w:jc w:val="center"/>
            </w:pPr>
            <w:r w:rsidRPr="005537E4">
              <w:t>HOV - Arterial (all classes)</w:t>
            </w:r>
          </w:p>
        </w:tc>
        <w:tc>
          <w:tcPr>
            <w:tcW w:w="0" w:type="auto"/>
            <w:vAlign w:val="center"/>
          </w:tcPr>
          <w:p w:rsidR="005300D6" w:rsidRPr="005537E4" w:rsidRDefault="005300D6" w:rsidP="00AD5DCC">
            <w:pPr>
              <w:spacing w:after="40"/>
              <w:jc w:val="center"/>
            </w:pPr>
            <w:r w:rsidRPr="005537E4">
              <w:t>20</w:t>
            </w:r>
          </w:p>
        </w:tc>
        <w:tc>
          <w:tcPr>
            <w:tcW w:w="0" w:type="auto"/>
            <w:vAlign w:val="center"/>
          </w:tcPr>
          <w:p w:rsidR="005300D6" w:rsidRPr="005537E4" w:rsidRDefault="005300D6" w:rsidP="00AD5DCC">
            <w:pPr>
              <w:spacing w:after="40"/>
              <w:jc w:val="center"/>
            </w:pPr>
            <w:r w:rsidRPr="005537E4">
              <w:t>27</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33</w:t>
            </w:r>
          </w:p>
        </w:tc>
        <w:tc>
          <w:tcPr>
            <w:tcW w:w="0" w:type="auto"/>
            <w:vAlign w:val="center"/>
          </w:tcPr>
          <w:p w:rsidR="005300D6" w:rsidRPr="005537E4" w:rsidRDefault="005300D6" w:rsidP="00AD5DCC">
            <w:pPr>
              <w:spacing w:after="40"/>
              <w:jc w:val="center"/>
            </w:pPr>
            <w:r w:rsidRPr="005537E4">
              <w:t>36</w:t>
            </w:r>
          </w:p>
        </w:tc>
        <w:tc>
          <w:tcPr>
            <w:tcW w:w="0" w:type="auto"/>
            <w:vAlign w:val="center"/>
          </w:tcPr>
          <w:p w:rsidR="005300D6" w:rsidRPr="005537E4" w:rsidRDefault="005300D6" w:rsidP="00AD5DCC">
            <w:pPr>
              <w:spacing w:after="40"/>
              <w:jc w:val="center"/>
            </w:pPr>
            <w:r w:rsidRPr="005537E4">
              <w:t>39</w:t>
            </w:r>
          </w:p>
        </w:tc>
        <w:tc>
          <w:tcPr>
            <w:tcW w:w="0" w:type="auto"/>
            <w:vAlign w:val="center"/>
          </w:tcPr>
          <w:p w:rsidR="005300D6" w:rsidRPr="005537E4" w:rsidRDefault="005300D6" w:rsidP="00AD5DCC">
            <w:pPr>
              <w:spacing w:after="40"/>
              <w:jc w:val="center"/>
            </w:pPr>
            <w:r w:rsidRPr="005537E4">
              <w:t>42</w:t>
            </w:r>
          </w:p>
        </w:tc>
        <w:tc>
          <w:tcPr>
            <w:tcW w:w="0" w:type="auto"/>
            <w:vAlign w:val="center"/>
          </w:tcPr>
          <w:p w:rsidR="005300D6" w:rsidRPr="005537E4" w:rsidRDefault="005300D6" w:rsidP="00AD5DCC">
            <w:pPr>
              <w:spacing w:after="40"/>
              <w:jc w:val="center"/>
            </w:pP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t>17</w:t>
            </w:r>
          </w:p>
        </w:tc>
        <w:tc>
          <w:tcPr>
            <w:tcW w:w="0" w:type="auto"/>
            <w:vAlign w:val="center"/>
          </w:tcPr>
          <w:p w:rsidR="005300D6" w:rsidRPr="005537E4" w:rsidRDefault="005300D6" w:rsidP="00AD5DCC">
            <w:pPr>
              <w:spacing w:after="40"/>
              <w:jc w:val="center"/>
            </w:pPr>
            <w:r w:rsidRPr="005537E4">
              <w:t>Major Collector</w:t>
            </w:r>
          </w:p>
        </w:tc>
        <w:tc>
          <w:tcPr>
            <w:tcW w:w="0" w:type="auto"/>
            <w:vAlign w:val="center"/>
          </w:tcPr>
          <w:p w:rsidR="005300D6" w:rsidRPr="005537E4" w:rsidRDefault="005300D6" w:rsidP="00AD5DCC">
            <w:pPr>
              <w:spacing w:after="40"/>
              <w:jc w:val="center"/>
            </w:pPr>
            <w:r w:rsidRPr="005537E4">
              <w:t>18</w:t>
            </w:r>
          </w:p>
        </w:tc>
        <w:tc>
          <w:tcPr>
            <w:tcW w:w="0" w:type="auto"/>
            <w:vAlign w:val="center"/>
          </w:tcPr>
          <w:p w:rsidR="005300D6" w:rsidRPr="005537E4" w:rsidRDefault="005300D6" w:rsidP="00AD5DCC">
            <w:pPr>
              <w:spacing w:after="40"/>
              <w:jc w:val="center"/>
            </w:pPr>
            <w:r w:rsidRPr="005537E4">
              <w:t>22</w:t>
            </w:r>
          </w:p>
        </w:tc>
        <w:tc>
          <w:tcPr>
            <w:tcW w:w="0" w:type="auto"/>
            <w:vAlign w:val="center"/>
          </w:tcPr>
          <w:p w:rsidR="005300D6" w:rsidRPr="005537E4" w:rsidRDefault="005300D6" w:rsidP="00AD5DCC">
            <w:pPr>
              <w:spacing w:after="40"/>
              <w:jc w:val="center"/>
            </w:pPr>
            <w:r w:rsidRPr="005537E4">
              <w:t>25</w:t>
            </w:r>
          </w:p>
        </w:tc>
        <w:tc>
          <w:tcPr>
            <w:tcW w:w="0" w:type="auto"/>
            <w:vAlign w:val="center"/>
          </w:tcPr>
          <w:p w:rsidR="005300D6" w:rsidRPr="005537E4" w:rsidRDefault="005300D6" w:rsidP="00AD5DCC">
            <w:pPr>
              <w:spacing w:after="40"/>
              <w:jc w:val="center"/>
            </w:pPr>
            <w:r w:rsidRPr="005537E4">
              <w:t>28</w:t>
            </w:r>
          </w:p>
        </w:tc>
        <w:tc>
          <w:tcPr>
            <w:tcW w:w="0" w:type="auto"/>
            <w:vAlign w:val="center"/>
          </w:tcPr>
          <w:p w:rsidR="005300D6" w:rsidRPr="005537E4" w:rsidRDefault="005300D6" w:rsidP="00AD5DCC">
            <w:pPr>
              <w:spacing w:after="40"/>
              <w:jc w:val="center"/>
            </w:pPr>
            <w:r w:rsidRPr="005537E4">
              <w:t>31</w:t>
            </w:r>
          </w:p>
        </w:tc>
        <w:tc>
          <w:tcPr>
            <w:tcW w:w="0" w:type="auto"/>
            <w:vAlign w:val="center"/>
          </w:tcPr>
          <w:p w:rsidR="005300D6" w:rsidRPr="005537E4" w:rsidRDefault="005300D6" w:rsidP="00AD5DCC">
            <w:pPr>
              <w:spacing w:after="40"/>
              <w:jc w:val="center"/>
            </w:pPr>
            <w:r w:rsidRPr="005537E4">
              <w:t>34</w:t>
            </w:r>
          </w:p>
        </w:tc>
        <w:tc>
          <w:tcPr>
            <w:tcW w:w="0" w:type="auto"/>
            <w:vAlign w:val="center"/>
          </w:tcPr>
          <w:p w:rsidR="005300D6" w:rsidRPr="005537E4" w:rsidRDefault="005300D6" w:rsidP="00AD5DCC">
            <w:pPr>
              <w:spacing w:after="40"/>
              <w:jc w:val="center"/>
            </w:pPr>
            <w:r w:rsidRPr="005537E4">
              <w:t>38</w:t>
            </w:r>
          </w:p>
        </w:tc>
        <w:tc>
          <w:tcPr>
            <w:tcW w:w="0" w:type="auto"/>
            <w:vAlign w:val="center"/>
          </w:tcPr>
          <w:p w:rsidR="005300D6" w:rsidRPr="005537E4" w:rsidRDefault="005300D6" w:rsidP="00AD5DCC">
            <w:pPr>
              <w:spacing w:after="40"/>
              <w:jc w:val="center"/>
            </w:pP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18</w:t>
            </w:r>
          </w:p>
        </w:tc>
        <w:tc>
          <w:tcPr>
            <w:tcW w:w="0" w:type="auto"/>
            <w:vAlign w:val="center"/>
          </w:tcPr>
          <w:p w:rsidR="005300D6" w:rsidRPr="005537E4" w:rsidRDefault="005300D6" w:rsidP="00AD5DCC">
            <w:pPr>
              <w:spacing w:after="40"/>
              <w:jc w:val="center"/>
            </w:pPr>
            <w:r w:rsidRPr="005537E4">
              <w:t>Minor Collector</w:t>
            </w:r>
          </w:p>
        </w:tc>
        <w:tc>
          <w:tcPr>
            <w:tcW w:w="0" w:type="auto"/>
            <w:vAlign w:val="center"/>
          </w:tcPr>
          <w:p w:rsidR="005300D6" w:rsidRPr="005537E4" w:rsidRDefault="005300D6" w:rsidP="00AD5DCC">
            <w:pPr>
              <w:spacing w:after="40"/>
              <w:jc w:val="center"/>
            </w:pPr>
            <w:r w:rsidRPr="005537E4">
              <w:t>15</w:t>
            </w:r>
          </w:p>
        </w:tc>
        <w:tc>
          <w:tcPr>
            <w:tcW w:w="0" w:type="auto"/>
            <w:vAlign w:val="center"/>
          </w:tcPr>
          <w:p w:rsidR="005300D6" w:rsidRPr="005537E4" w:rsidRDefault="005300D6" w:rsidP="00AD5DCC">
            <w:pPr>
              <w:spacing w:after="40"/>
              <w:jc w:val="center"/>
            </w:pPr>
            <w:r w:rsidRPr="005537E4">
              <w:t>18</w:t>
            </w:r>
          </w:p>
        </w:tc>
        <w:tc>
          <w:tcPr>
            <w:tcW w:w="0" w:type="auto"/>
            <w:vAlign w:val="center"/>
          </w:tcPr>
          <w:p w:rsidR="005300D6" w:rsidRPr="005537E4" w:rsidRDefault="005300D6" w:rsidP="00AD5DCC">
            <w:pPr>
              <w:spacing w:after="40"/>
              <w:jc w:val="center"/>
            </w:pPr>
            <w:r w:rsidRPr="005537E4">
              <w:t>21</w:t>
            </w:r>
          </w:p>
        </w:tc>
        <w:tc>
          <w:tcPr>
            <w:tcW w:w="0" w:type="auto"/>
            <w:vAlign w:val="center"/>
          </w:tcPr>
          <w:p w:rsidR="005300D6" w:rsidRPr="005537E4" w:rsidRDefault="005300D6" w:rsidP="00AD5DCC">
            <w:pPr>
              <w:spacing w:after="40"/>
              <w:jc w:val="center"/>
            </w:pPr>
            <w:r w:rsidRPr="005537E4">
              <w:t>24</w:t>
            </w:r>
          </w:p>
        </w:tc>
        <w:tc>
          <w:tcPr>
            <w:tcW w:w="0" w:type="auto"/>
            <w:vAlign w:val="center"/>
          </w:tcPr>
          <w:p w:rsidR="005300D6" w:rsidRPr="005537E4" w:rsidRDefault="005300D6" w:rsidP="00AD5DCC">
            <w:pPr>
              <w:spacing w:after="40"/>
              <w:jc w:val="center"/>
            </w:pPr>
            <w:r w:rsidRPr="005537E4">
              <w:t>27</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35</w:t>
            </w:r>
          </w:p>
        </w:tc>
        <w:tc>
          <w:tcPr>
            <w:tcW w:w="0" w:type="auto"/>
            <w:vAlign w:val="center"/>
          </w:tcPr>
          <w:p w:rsidR="005300D6" w:rsidRPr="005537E4" w:rsidRDefault="005300D6" w:rsidP="00AD5DCC">
            <w:pPr>
              <w:spacing w:after="40"/>
              <w:jc w:val="center"/>
            </w:pPr>
          </w:p>
        </w:tc>
      </w:tr>
      <w:tr w:rsidR="00AD5DCC" w:rsidRPr="005537E4" w:rsidTr="00E54FD7">
        <w:trPr>
          <w:cantSplit/>
          <w:trHeight w:val="255"/>
          <w:jc w:val="center"/>
        </w:trPr>
        <w:tc>
          <w:tcPr>
            <w:tcW w:w="0" w:type="auto"/>
            <w:vAlign w:val="center"/>
          </w:tcPr>
          <w:p w:rsidR="005300D6" w:rsidRPr="005537E4" w:rsidRDefault="005300D6" w:rsidP="00AD5DCC">
            <w:pPr>
              <w:spacing w:after="40"/>
              <w:jc w:val="center"/>
            </w:pPr>
            <w:r w:rsidRPr="005537E4">
              <w:lastRenderedPageBreak/>
              <w:t>19</w:t>
            </w:r>
          </w:p>
        </w:tc>
        <w:tc>
          <w:tcPr>
            <w:tcW w:w="0" w:type="auto"/>
            <w:vAlign w:val="center"/>
          </w:tcPr>
          <w:p w:rsidR="005300D6" w:rsidRPr="005537E4" w:rsidRDefault="005300D6" w:rsidP="00AD5DCC">
            <w:pPr>
              <w:spacing w:after="40"/>
              <w:jc w:val="center"/>
            </w:pPr>
            <w:r w:rsidRPr="005537E4">
              <w:t>Planned Ramps w/ Intersections</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30</w:t>
            </w:r>
          </w:p>
        </w:tc>
        <w:tc>
          <w:tcPr>
            <w:tcW w:w="0" w:type="auto"/>
            <w:vAlign w:val="center"/>
          </w:tcPr>
          <w:p w:rsidR="005300D6" w:rsidRPr="005537E4" w:rsidRDefault="005300D6" w:rsidP="00AD5DCC">
            <w:pPr>
              <w:spacing w:after="40"/>
              <w:jc w:val="center"/>
            </w:pPr>
            <w:r w:rsidRPr="005537E4">
              <w:t>5</w:t>
            </w:r>
          </w:p>
        </w:tc>
      </w:tr>
      <w:tr w:rsidR="00AD5DCC" w:rsidRPr="005537E4" w:rsidTr="00E54FD7">
        <w:trPr>
          <w:cnfStyle w:val="000000100000"/>
          <w:cantSplit/>
          <w:trHeight w:val="255"/>
          <w:jc w:val="center"/>
        </w:trPr>
        <w:tc>
          <w:tcPr>
            <w:tcW w:w="0" w:type="auto"/>
            <w:vAlign w:val="center"/>
          </w:tcPr>
          <w:p w:rsidR="005300D6" w:rsidRPr="005537E4" w:rsidRDefault="005300D6" w:rsidP="00AD5DCC">
            <w:pPr>
              <w:spacing w:after="40"/>
              <w:jc w:val="center"/>
            </w:pPr>
            <w:r w:rsidRPr="005537E4">
              <w:t>20</w:t>
            </w:r>
          </w:p>
        </w:tc>
        <w:tc>
          <w:tcPr>
            <w:tcW w:w="0" w:type="auto"/>
            <w:vAlign w:val="center"/>
          </w:tcPr>
          <w:p w:rsidR="005300D6" w:rsidRPr="005537E4" w:rsidRDefault="005300D6" w:rsidP="00AD5DCC">
            <w:pPr>
              <w:spacing w:after="40"/>
              <w:jc w:val="center"/>
            </w:pPr>
            <w:r w:rsidRPr="005537E4">
              <w:t>Planned Directional Ramps</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r w:rsidRPr="005537E4">
              <w:t>45</w:t>
            </w:r>
          </w:p>
        </w:tc>
        <w:tc>
          <w:tcPr>
            <w:tcW w:w="0" w:type="auto"/>
            <w:vAlign w:val="center"/>
          </w:tcPr>
          <w:p w:rsidR="005300D6" w:rsidRPr="005537E4" w:rsidRDefault="005300D6" w:rsidP="00AD5DCC">
            <w:pPr>
              <w:spacing w:after="40"/>
              <w:jc w:val="center"/>
            </w:pPr>
            <w:r w:rsidRPr="005537E4">
              <w:t>10</w:t>
            </w:r>
          </w:p>
        </w:tc>
      </w:tr>
    </w:tbl>
    <w:p w:rsidR="005300D6" w:rsidRPr="005537E4" w:rsidRDefault="005300D6" w:rsidP="005300D6">
      <w:pPr>
        <w:spacing w:after="0"/>
      </w:pPr>
    </w:p>
    <w:p w:rsidR="005300D6" w:rsidRDefault="00D71A09" w:rsidP="00042202">
      <w:pPr>
        <w:pStyle w:val="Heading3"/>
      </w:pPr>
      <w:bookmarkStart w:id="16" w:name="_Toc307469371"/>
      <w:bookmarkStart w:id="17" w:name="_Toc307490339"/>
      <w:r>
        <w:t>Transit Modeling</w:t>
      </w:r>
      <w:bookmarkEnd w:id="16"/>
      <w:bookmarkEnd w:id="17"/>
    </w:p>
    <w:p w:rsidR="00D71A09" w:rsidRDefault="00D71A09" w:rsidP="00D71A09">
      <w:pPr>
        <w:jc w:val="both"/>
      </w:pPr>
      <w:r>
        <w:t>The transit portion of ARC’s travel demand model was calibrated to 2000 transit ridership estimates, provided by regional transit operators.  Results from the 2001-2002 Transit On-Board Survey, as well as preliminary adjustments from the 2009 Transit On-Board Survey, are reflected in the travel demand model’s transit parameters.  Current and projected transit routes are updated regularly to reflect operational plans for the transit providers.</w:t>
      </w:r>
    </w:p>
    <w:p w:rsidR="00DA7766" w:rsidRDefault="00D71A09" w:rsidP="00D71A09">
      <w:pPr>
        <w:jc w:val="both"/>
      </w:pPr>
      <w:r>
        <w:t xml:space="preserve">ARC’s travel demand model uses a mode choice model to determine the </w:t>
      </w:r>
      <w:r w:rsidR="00042202">
        <w:t>quantity</w:t>
      </w:r>
      <w:r>
        <w:t xml:space="preserve"> of people that will utilize transit services</w:t>
      </w:r>
      <w:r w:rsidR="00DA7766">
        <w:t>, versus those that will drive to their destinations</w:t>
      </w:r>
      <w:r>
        <w:t xml:space="preserve">.  Individual modal trips are estimated from the person trip movements developed in the trip distribution model.  This model is composed of three nested </w:t>
      </w:r>
      <w:proofErr w:type="spellStart"/>
      <w:r>
        <w:t>logit</w:t>
      </w:r>
      <w:proofErr w:type="spellEnd"/>
      <w:r>
        <w:t xml:space="preserve"> models: </w:t>
      </w:r>
    </w:p>
    <w:p w:rsidR="00DA7766" w:rsidRDefault="00DA7766" w:rsidP="00DA7766">
      <w:pPr>
        <w:pStyle w:val="ListParagraph"/>
        <w:numPr>
          <w:ilvl w:val="0"/>
          <w:numId w:val="14"/>
        </w:numPr>
        <w:jc w:val="both"/>
      </w:pPr>
      <w:r>
        <w:t>H</w:t>
      </w:r>
      <w:r w:rsidR="00D71A09">
        <w:t>ome based work trips</w:t>
      </w:r>
      <w:r>
        <w:t>,</w:t>
      </w:r>
      <w:r w:rsidR="00D71A09">
        <w:t xml:space="preserve"> which inclu</w:t>
      </w:r>
      <w:r>
        <w:t>de home based university trips</w:t>
      </w:r>
    </w:p>
    <w:p w:rsidR="00D71A09" w:rsidRDefault="00DA7766" w:rsidP="00DA7766">
      <w:pPr>
        <w:pStyle w:val="ListParagraph"/>
        <w:numPr>
          <w:ilvl w:val="0"/>
          <w:numId w:val="14"/>
        </w:numPr>
        <w:jc w:val="both"/>
      </w:pPr>
      <w:r>
        <w:t>Home based other trips, which include home based other, home based shopping and home based grade school</w:t>
      </w:r>
    </w:p>
    <w:p w:rsidR="00DA7766" w:rsidRDefault="00DA7766" w:rsidP="00DA7766">
      <w:pPr>
        <w:pStyle w:val="ListParagraph"/>
        <w:numPr>
          <w:ilvl w:val="0"/>
          <w:numId w:val="14"/>
        </w:numPr>
        <w:jc w:val="both"/>
      </w:pPr>
      <w:r>
        <w:t>Non-home based trips</w:t>
      </w:r>
    </w:p>
    <w:p w:rsidR="00DA7766" w:rsidRDefault="00DA7766" w:rsidP="00DA7766">
      <w:pPr>
        <w:jc w:val="both"/>
      </w:pPr>
      <w:r>
        <w:t xml:space="preserve">From there, the </w:t>
      </w:r>
      <w:r w:rsidR="004F376D">
        <w:t xml:space="preserve">final </w:t>
      </w:r>
      <w:r>
        <w:t>mode choice model is organized in terms of seven characteristics:</w:t>
      </w:r>
    </w:p>
    <w:p w:rsidR="00DA7766" w:rsidRDefault="00DA7766" w:rsidP="00DA7766">
      <w:pPr>
        <w:pStyle w:val="ListParagraph"/>
        <w:numPr>
          <w:ilvl w:val="0"/>
          <w:numId w:val="15"/>
        </w:numPr>
        <w:jc w:val="both"/>
      </w:pPr>
      <w:r>
        <w:t>Mathematical structure</w:t>
      </w:r>
    </w:p>
    <w:p w:rsidR="00DA7766" w:rsidRDefault="00DA7766" w:rsidP="00DA7766">
      <w:pPr>
        <w:pStyle w:val="ListParagraph"/>
        <w:numPr>
          <w:ilvl w:val="0"/>
          <w:numId w:val="15"/>
        </w:numPr>
        <w:jc w:val="both"/>
      </w:pPr>
      <w:r>
        <w:t>Trip purpose and choice sets</w:t>
      </w:r>
    </w:p>
    <w:p w:rsidR="00DA7766" w:rsidRDefault="00DA7766" w:rsidP="00DA7766">
      <w:pPr>
        <w:pStyle w:val="ListParagraph"/>
        <w:numPr>
          <w:ilvl w:val="0"/>
          <w:numId w:val="15"/>
        </w:numPr>
        <w:jc w:val="both"/>
      </w:pPr>
      <w:r>
        <w:t>Limitations on choice sets</w:t>
      </w:r>
    </w:p>
    <w:p w:rsidR="00DA7766" w:rsidRDefault="00DA7766" w:rsidP="00DA7766">
      <w:pPr>
        <w:pStyle w:val="ListParagraph"/>
        <w:numPr>
          <w:ilvl w:val="0"/>
          <w:numId w:val="15"/>
        </w:numPr>
        <w:jc w:val="both"/>
      </w:pPr>
      <w:r>
        <w:t>Analysis of transit access</w:t>
      </w:r>
    </w:p>
    <w:p w:rsidR="00DA7766" w:rsidRDefault="00DA7766" w:rsidP="00DA7766">
      <w:pPr>
        <w:pStyle w:val="ListParagraph"/>
        <w:numPr>
          <w:ilvl w:val="0"/>
          <w:numId w:val="15"/>
        </w:numPr>
        <w:jc w:val="both"/>
      </w:pPr>
      <w:r>
        <w:t>Treatment of HOV lanes</w:t>
      </w:r>
    </w:p>
    <w:p w:rsidR="00DA7766" w:rsidRDefault="00DA7766" w:rsidP="00DA7766">
      <w:pPr>
        <w:pStyle w:val="ListParagraph"/>
        <w:numPr>
          <w:ilvl w:val="0"/>
          <w:numId w:val="15"/>
        </w:numPr>
        <w:jc w:val="both"/>
      </w:pPr>
      <w:r>
        <w:t>Stratification by income groups</w:t>
      </w:r>
    </w:p>
    <w:p w:rsidR="00DA7766" w:rsidRDefault="00DA7766" w:rsidP="00DA7766">
      <w:pPr>
        <w:pStyle w:val="ListParagraph"/>
        <w:numPr>
          <w:ilvl w:val="0"/>
          <w:numId w:val="15"/>
        </w:numPr>
        <w:jc w:val="both"/>
      </w:pPr>
      <w:r>
        <w:t>Analysis of alternative transit paths</w:t>
      </w:r>
    </w:p>
    <w:p w:rsidR="004F376D" w:rsidRPr="00042202" w:rsidRDefault="004F376D" w:rsidP="00E54FD7">
      <w:pPr>
        <w:rPr>
          <w:rFonts w:ascii="Cambria" w:hAnsi="Cambria"/>
          <w:u w:val="single"/>
        </w:rPr>
      </w:pPr>
      <w:bookmarkStart w:id="18" w:name="_Toc176063806"/>
      <w:r w:rsidRPr="00042202">
        <w:rPr>
          <w:rFonts w:ascii="Cambria" w:hAnsi="Cambria"/>
          <w:u w:val="single"/>
        </w:rPr>
        <w:t>Zero-Car Household Distribution</w:t>
      </w:r>
    </w:p>
    <w:p w:rsidR="004F376D" w:rsidRDefault="004F376D" w:rsidP="004F376D">
      <w:pPr>
        <w:jc w:val="both"/>
      </w:pPr>
      <w:r>
        <w:t xml:space="preserve">The auto ownership model was updated and validated using census data in 2008.  New income coefficients were asserted using observed 2000 auto ownership shares as the basis.  CTPP TAZ level data were processed to generate the expected auto-ownership levels for each respective income group.  Densities were found to still play a role in the decision to own an automobile.  As a result, the census </w:t>
      </w:r>
      <w:r>
        <w:lastRenderedPageBreak/>
        <w:t xml:space="preserve">calibrations were modified to include a coefficient for zone density, providing a more accurate prediction of auto-ownership in the regional model.   </w:t>
      </w:r>
    </w:p>
    <w:p w:rsidR="004F376D" w:rsidRPr="00042202" w:rsidRDefault="004F376D" w:rsidP="00E54FD7">
      <w:pPr>
        <w:rPr>
          <w:rFonts w:ascii="Cambria" w:hAnsi="Cambria"/>
          <w:u w:val="single"/>
        </w:rPr>
      </w:pPr>
      <w:r w:rsidRPr="00042202">
        <w:rPr>
          <w:rFonts w:ascii="Cambria" w:hAnsi="Cambria"/>
          <w:u w:val="single"/>
        </w:rPr>
        <w:t>Survey Expansion</w:t>
      </w:r>
    </w:p>
    <w:p w:rsidR="004F376D" w:rsidRDefault="004F376D" w:rsidP="004F376D">
      <w:pPr>
        <w:jc w:val="both"/>
      </w:pPr>
      <w:r>
        <w:t>ARC conducted a regional transit on-board survey in 2009-2010 to get a better understanding of transit travel behavior.  While the full expansion of the survey was not available in time for this model version update, the survey was used to make important updates to the mode choice model.  A list of areas that were modified follows:</w:t>
      </w:r>
    </w:p>
    <w:p w:rsidR="004F376D" w:rsidRDefault="004F376D" w:rsidP="004F376D">
      <w:pPr>
        <w:pStyle w:val="ListParagraph"/>
        <w:numPr>
          <w:ilvl w:val="0"/>
          <w:numId w:val="16"/>
        </w:numPr>
        <w:jc w:val="both"/>
      </w:pPr>
      <w:r>
        <w:t>New transit coefficients were generated by trip purpose, mode of access and socioeconomic class</w:t>
      </w:r>
    </w:p>
    <w:p w:rsidR="004F376D" w:rsidRDefault="00797FAB" w:rsidP="004F376D">
      <w:pPr>
        <w:pStyle w:val="ListParagraph"/>
        <w:numPr>
          <w:ilvl w:val="0"/>
          <w:numId w:val="16"/>
        </w:numPr>
        <w:jc w:val="both"/>
      </w:pPr>
      <w:r>
        <w:t>Use of kiss-</w:t>
      </w:r>
      <w:r w:rsidR="004F376D">
        <w:t>and</w:t>
      </w:r>
      <w:r>
        <w:t>-</w:t>
      </w:r>
      <w:r w:rsidR="004F376D">
        <w:t>ride facilities was adjusted</w:t>
      </w:r>
    </w:p>
    <w:p w:rsidR="004F376D" w:rsidRDefault="004F376D" w:rsidP="004F376D">
      <w:pPr>
        <w:pStyle w:val="ListParagraph"/>
        <w:numPr>
          <w:ilvl w:val="0"/>
          <w:numId w:val="16"/>
        </w:numPr>
        <w:jc w:val="both"/>
      </w:pPr>
      <w:r>
        <w:t>Walking travel distance to transit was increased</w:t>
      </w:r>
    </w:p>
    <w:p w:rsidR="004F376D" w:rsidRDefault="004F376D" w:rsidP="004F376D">
      <w:pPr>
        <w:pStyle w:val="ListParagraph"/>
        <w:numPr>
          <w:ilvl w:val="0"/>
          <w:numId w:val="16"/>
        </w:numPr>
        <w:jc w:val="both"/>
      </w:pPr>
      <w:r>
        <w:t>A pedestrian environment factor was introduced to adjust for easier walking conditions in more urban areas of the region</w:t>
      </w:r>
    </w:p>
    <w:p w:rsidR="004F376D" w:rsidRDefault="004F376D" w:rsidP="004F376D">
      <w:pPr>
        <w:pStyle w:val="ListParagraph"/>
        <w:numPr>
          <w:ilvl w:val="0"/>
          <w:numId w:val="16"/>
        </w:numPr>
        <w:jc w:val="both"/>
      </w:pPr>
      <w:r>
        <w:t>The transfer penalty assignment was modified</w:t>
      </w:r>
    </w:p>
    <w:p w:rsidR="004F376D" w:rsidRPr="00042202" w:rsidRDefault="004F376D" w:rsidP="00E54FD7">
      <w:pPr>
        <w:rPr>
          <w:rFonts w:ascii="Cambria" w:hAnsi="Cambria"/>
          <w:u w:val="single"/>
        </w:rPr>
      </w:pPr>
      <w:r w:rsidRPr="00042202">
        <w:rPr>
          <w:rFonts w:ascii="Cambria" w:hAnsi="Cambria"/>
          <w:u w:val="single"/>
        </w:rPr>
        <w:t>Fare Changes</w:t>
      </w:r>
      <w:bookmarkEnd w:id="18"/>
    </w:p>
    <w:p w:rsidR="004F376D" w:rsidRPr="004B25FA" w:rsidRDefault="004F376D" w:rsidP="00797FAB">
      <w:pPr>
        <w:jc w:val="both"/>
      </w:pPr>
      <w:r w:rsidRPr="004B25FA">
        <w:t>As a part of the transportation conformity analysis performed for PLAN 2040</w:t>
      </w:r>
      <w:r w:rsidR="000C7BE7" w:rsidRPr="004B25FA">
        <w:fldChar w:fldCharType="begin"/>
      </w:r>
      <w:r w:rsidRPr="004B25FA">
        <w:instrText xml:space="preserve"> XE "RTP" </w:instrText>
      </w:r>
      <w:r w:rsidR="000C7BE7" w:rsidRPr="004B25FA">
        <w:fldChar w:fldCharType="end"/>
      </w:r>
      <w:r w:rsidRPr="004B25FA">
        <w:t xml:space="preserve">, assumptions about transit fares for the existing and planned regional transit system were made and coded in the regional travel demand model.  </w:t>
      </w:r>
      <w:proofErr w:type="gramStart"/>
      <w:r w:rsidRPr="004B25FA">
        <w:t>Transit</w:t>
      </w:r>
      <w:proofErr w:type="gramEnd"/>
      <w:r w:rsidRPr="004B25FA">
        <w:t xml:space="preserve"> fares are used as supplied by the local transit operators and remain constant over time, throughout the life of the plan, across all network years.  The fares reflect current operating plans, as provided to ARC</w:t>
      </w:r>
      <w:r w:rsidR="000C7BE7" w:rsidRPr="004B25FA">
        <w:fldChar w:fldCharType="begin"/>
      </w:r>
      <w:r w:rsidRPr="004B25FA">
        <w:instrText xml:space="preserve"> XE "ARC" </w:instrText>
      </w:r>
      <w:r w:rsidR="000C7BE7" w:rsidRPr="004B25FA">
        <w:fldChar w:fldCharType="end"/>
      </w:r>
      <w:r w:rsidRPr="004B25FA">
        <w:t xml:space="preserve"> by the various transit operators throughout the region.  The transit fare structure used to develop the plan makes use of a fare matrix on a zone-to-zone level with a universal fare structure (flat fare) for all bus and rail lines. </w:t>
      </w:r>
    </w:p>
    <w:p w:rsidR="00F32808" w:rsidRDefault="004F376D" w:rsidP="004F376D">
      <w:pPr>
        <w:jc w:val="both"/>
      </w:pPr>
      <w:r w:rsidRPr="0090640C">
        <w:t>With the addition of new transit operators providing regional transit services, transfer fare agreements between different interconnecting systems and the need to plan for future transit modes, more specific transit coding was needed to accurately reflect the transit levels of service.  The current ARC coding approach enables most of the fares to be coded universally for each mode, and all providers are allowed to have different fares.  In addition, a protocol was established in the model stream to allow transit fare to be coded by transit link.  The current fare values in the model are weighted according to the percentage of riders using a discounted fare pass, and changes to these assumptions can be incorporated directly into the model. The ARC model currently assumes that peak and off-peak fares are equivalent.</w:t>
      </w:r>
    </w:p>
    <w:p w:rsidR="00F32808" w:rsidRDefault="00F32808">
      <w:r>
        <w:br w:type="page"/>
      </w:r>
    </w:p>
    <w:p w:rsidR="001D21F6" w:rsidRDefault="001D21F6" w:rsidP="00815A61">
      <w:pPr>
        <w:pStyle w:val="Heading1"/>
        <w:spacing w:after="200"/>
      </w:pPr>
      <w:bookmarkStart w:id="19" w:name="_Toc307469372"/>
      <w:bookmarkStart w:id="20" w:name="_Toc307490340"/>
      <w:r>
        <w:lastRenderedPageBreak/>
        <w:t>MOVES Overview</w:t>
      </w:r>
      <w:bookmarkEnd w:id="19"/>
      <w:bookmarkEnd w:id="20"/>
    </w:p>
    <w:p w:rsidR="001D21F6" w:rsidRPr="001D21F6" w:rsidRDefault="001D21F6" w:rsidP="00815A61">
      <w:pPr>
        <w:jc w:val="both"/>
      </w:pPr>
      <w:r w:rsidRPr="001D21F6">
        <w:t xml:space="preserve">The Motor Vehicle Emissions Simulator (MOVES) is EPA’s latest available, state-of-the-art tool for estimating mobile source emissions from highway vehicles.  </w:t>
      </w:r>
      <w:proofErr w:type="gramStart"/>
      <w:r w:rsidRPr="001D21F6">
        <w:t>MOVES replaces</w:t>
      </w:r>
      <w:proofErr w:type="gramEnd"/>
      <w:r w:rsidRPr="001D21F6">
        <w:t xml:space="preserve"> the MOBILE6 emissions model for use in State Implementation Plans (SIPs) and transportation conformity analyses.  </w:t>
      </w:r>
      <w:r w:rsidR="00C21B97" w:rsidRPr="001D21F6">
        <w:t>It must be used for</w:t>
      </w:r>
      <w:r w:rsidR="00C21B97">
        <w:t xml:space="preserve"> new</w:t>
      </w:r>
      <w:r w:rsidR="00C21B97" w:rsidRPr="001D21F6">
        <w:t xml:space="preserve"> </w:t>
      </w:r>
      <w:r w:rsidR="00C21B97">
        <w:t xml:space="preserve">SIP development and for all conformity determinations after a three year </w:t>
      </w:r>
      <w:r w:rsidR="006F6195">
        <w:t xml:space="preserve">conformity </w:t>
      </w:r>
      <w:r w:rsidR="00C21B97">
        <w:t xml:space="preserve">grace period ending on </w:t>
      </w:r>
      <w:r w:rsidR="00C21B97" w:rsidRPr="001D21F6">
        <w:t>March 2, 2013</w:t>
      </w:r>
      <w:r w:rsidR="00C21B97">
        <w:t>.</w:t>
      </w:r>
      <w:r w:rsidR="00C21B97" w:rsidRPr="001D21F6">
        <w:rPr>
          <w:rStyle w:val="FootnoteReference"/>
          <w:rFonts w:asciiTheme="minorHAnsi" w:hAnsiTheme="minorHAnsi"/>
        </w:rPr>
        <w:footnoteReference w:id="6"/>
      </w:r>
      <w:r w:rsidRPr="001D21F6">
        <w:t xml:space="preserve">  In preparation for the transition to MOVES, the ARC</w:t>
      </w:r>
      <w:r>
        <w:t xml:space="preserve"> and</w:t>
      </w:r>
      <w:r w:rsidRPr="001D21F6">
        <w:t xml:space="preserve"> GA EPD jointly developed MOVES-based methodologies to estimate emissions inventories for the Atlanta region.  </w:t>
      </w:r>
    </w:p>
    <w:p w:rsidR="001D21F6" w:rsidRPr="001D21F6" w:rsidRDefault="001D21F6" w:rsidP="001D21F6">
      <w:pPr>
        <w:jc w:val="both"/>
      </w:pPr>
      <w:r w:rsidRPr="001D21F6">
        <w:t>The MOVES modeling platform is substantially different than MOBILE6 due to the availability of a graphical user interface (GUI) to set the general parameters  for running MOV</w:t>
      </w:r>
      <w:r w:rsidR="00C21B97">
        <w:t>ES and a County Data Manager</w:t>
      </w:r>
      <w:r w:rsidRPr="001D21F6">
        <w:t xml:space="preserve"> to assist the user in managing data inputs and data format.  In addition, MOVES provides two modes to estimate emissions – emissions rate mode and emissions inventory mode.  Inventory mode was chosen over emission rate mode after extensive testing of both approaches.  The fo</w:t>
      </w:r>
      <w:r w:rsidR="006F6195">
        <w:t>llowing section provides detail</w:t>
      </w:r>
      <w:r w:rsidRPr="001D21F6">
        <w:t xml:space="preserve"> on MOVES general parameters and data inputs,</w:t>
      </w:r>
      <w:r w:rsidR="00F06353">
        <w:t xml:space="preserve"> as applied in the PM</w:t>
      </w:r>
      <w:r w:rsidR="00F06353" w:rsidRPr="00F06353">
        <w:rPr>
          <w:vertAlign w:val="subscript"/>
        </w:rPr>
        <w:t>2.5</w:t>
      </w:r>
      <w:r w:rsidR="00F06353">
        <w:t xml:space="preserve"> and </w:t>
      </w:r>
      <w:r w:rsidRPr="001D21F6">
        <w:t xml:space="preserve">Ozone Maintenance SIPs using MOVES in inventory mode.  </w:t>
      </w:r>
    </w:p>
    <w:p w:rsidR="00F06353" w:rsidRDefault="001D21F6" w:rsidP="001D21F6">
      <w:pPr>
        <w:jc w:val="both"/>
      </w:pPr>
      <w:r w:rsidRPr="001D21F6">
        <w:t xml:space="preserve">The MOVES GUI is used to set the general parameters of a particular MOVES run, while the County Data Manager is used to tailor the MOVES inputs using local data.  </w:t>
      </w:r>
      <w:r w:rsidRPr="00820EC9">
        <w:t xml:space="preserve">Table </w:t>
      </w:r>
      <w:r w:rsidR="00820EC9" w:rsidRPr="00820EC9">
        <w:t>2</w:t>
      </w:r>
      <w:r w:rsidRPr="001D21F6">
        <w:t xml:space="preserve"> shows the selections applied through the MOVES GUI to set the general parameters for each of the four types of MOVES runs needed to estimate emissions for the Atlanta PM2.5 and Ozone nonattainment areas.  It should be no</w:t>
      </w:r>
      <w:r w:rsidR="00F06353">
        <w:t>ted that for PM</w:t>
      </w:r>
      <w:r w:rsidR="00F06353">
        <w:rPr>
          <w:vertAlign w:val="subscript"/>
        </w:rPr>
        <w:t>2.5</w:t>
      </w:r>
      <w:r w:rsidR="00F06353">
        <w:t xml:space="preserve"> runs</w:t>
      </w:r>
      <w:r w:rsidRPr="001D21F6">
        <w:t xml:space="preserve"> the month July is chosen as a “dummy month,” but the fuel and meteorology inputs provided through the County Data Manager represent the entire year by providing average annual data.  </w:t>
      </w:r>
    </w:p>
    <w:p w:rsidR="001D21F6" w:rsidRDefault="001D21F6" w:rsidP="001D21F6">
      <w:pPr>
        <w:jc w:val="both"/>
      </w:pPr>
      <w:r w:rsidRPr="001D21F6">
        <w:t xml:space="preserve">Fulton </w:t>
      </w:r>
      <w:r w:rsidR="00F06353" w:rsidRPr="001D21F6">
        <w:t>County</w:t>
      </w:r>
      <w:r w:rsidRPr="001D21F6">
        <w:t xml:space="preserve"> is chosen to represent the 13</w:t>
      </w:r>
      <w:r w:rsidR="00F06353">
        <w:t xml:space="preserve"> I/M program</w:t>
      </w:r>
      <w:r w:rsidRPr="001D21F6">
        <w:t xml:space="preserve"> counties included in the previous one-hour ozone nonattainment area and Bartow County is chosen to represent the 7 additional ring counties that were added with the transition to the eight-hour ozone standard and PM</w:t>
      </w:r>
      <w:r w:rsidRPr="00F06353">
        <w:rPr>
          <w:vertAlign w:val="subscript"/>
        </w:rPr>
        <w:t>2.5</w:t>
      </w:r>
      <w:r w:rsidRPr="001D21F6">
        <w:t xml:space="preserve"> standard.  This</w:t>
      </w:r>
      <w:r w:rsidR="00F06353">
        <w:t xml:space="preserve"> distinction</w:t>
      </w:r>
      <w:r w:rsidRPr="001D21F6">
        <w:t xml:space="preserve"> was needed to reflect different types of emission controls in place in the two geographies.  Note that additional inputs </w:t>
      </w:r>
      <w:r w:rsidR="00F06353">
        <w:t>imported</w:t>
      </w:r>
      <w:r w:rsidRPr="001D21F6">
        <w:t xml:space="preserve"> through the County Data Manager represent the entire 13 or 7 county areas</w:t>
      </w:r>
      <w:r w:rsidR="00F06353">
        <w:t>, respectively</w:t>
      </w:r>
      <w:r w:rsidRPr="001D21F6">
        <w:t>.</w:t>
      </w:r>
    </w:p>
    <w:p w:rsidR="001D21F6" w:rsidRPr="00820EC9" w:rsidRDefault="001D21F6" w:rsidP="00820EC9">
      <w:pPr>
        <w:pStyle w:val="Caption"/>
        <w:keepNext/>
        <w:jc w:val="center"/>
        <w:rPr>
          <w:color w:val="auto"/>
          <w:sz w:val="24"/>
          <w:szCs w:val="24"/>
        </w:rPr>
      </w:pPr>
      <w:r w:rsidRPr="00820EC9">
        <w:rPr>
          <w:color w:val="auto"/>
          <w:sz w:val="24"/>
          <w:szCs w:val="24"/>
        </w:rPr>
        <w:lastRenderedPageBreak/>
        <w:t xml:space="preserve">Table </w:t>
      </w:r>
      <w:r w:rsidR="00820EC9" w:rsidRPr="00820EC9">
        <w:rPr>
          <w:color w:val="auto"/>
          <w:sz w:val="24"/>
          <w:szCs w:val="24"/>
        </w:rPr>
        <w:t>2</w:t>
      </w:r>
      <w:r w:rsidR="00F06353" w:rsidRPr="00820EC9">
        <w:rPr>
          <w:color w:val="auto"/>
          <w:sz w:val="24"/>
          <w:szCs w:val="24"/>
        </w:rPr>
        <w:t xml:space="preserve"> –</w:t>
      </w:r>
      <w:r w:rsidRPr="00820EC9">
        <w:rPr>
          <w:color w:val="auto"/>
          <w:sz w:val="24"/>
          <w:szCs w:val="24"/>
        </w:rPr>
        <w:t xml:space="preserve"> MOVES</w:t>
      </w:r>
      <w:r w:rsidR="00F06353" w:rsidRPr="00820EC9">
        <w:rPr>
          <w:color w:val="auto"/>
          <w:sz w:val="24"/>
          <w:szCs w:val="24"/>
        </w:rPr>
        <w:t xml:space="preserve"> </w:t>
      </w:r>
      <w:r w:rsidRPr="00820EC9">
        <w:rPr>
          <w:color w:val="auto"/>
          <w:sz w:val="24"/>
          <w:szCs w:val="24"/>
        </w:rPr>
        <w:t>General Parameters</w:t>
      </w:r>
    </w:p>
    <w:tbl>
      <w:tblPr>
        <w:tblStyle w:val="MediumShading2-Accent11"/>
        <w:tblW w:w="0" w:type="auto"/>
        <w:jc w:val="center"/>
        <w:tblLook w:val="0420"/>
      </w:tblPr>
      <w:tblGrid>
        <w:gridCol w:w="1503"/>
        <w:gridCol w:w="2079"/>
        <w:gridCol w:w="1500"/>
        <w:gridCol w:w="1497"/>
        <w:gridCol w:w="1500"/>
        <w:gridCol w:w="1497"/>
      </w:tblGrid>
      <w:tr w:rsidR="00864A1E" w:rsidRPr="000458AC" w:rsidTr="00C21B97">
        <w:trPr>
          <w:cnfStyle w:val="100000000000"/>
          <w:trHeight w:val="630"/>
          <w:jc w:val="center"/>
        </w:trPr>
        <w:tc>
          <w:tcPr>
            <w:tcW w:w="0" w:type="auto"/>
            <w:tcBorders>
              <w:right w:val="single" w:sz="4" w:space="0" w:color="FFFFFF" w:themeColor="background1"/>
            </w:tcBorders>
            <w:vAlign w:val="center"/>
            <w:hideMark/>
          </w:tcPr>
          <w:p w:rsidR="001D21F6" w:rsidRPr="00864A1E" w:rsidRDefault="001D21F6" w:rsidP="00864A1E">
            <w:pPr>
              <w:keepNext/>
              <w:jc w:val="center"/>
              <w:rPr>
                <w:rFonts w:eastAsia="Times New Roman" w:cs="Times New Roman"/>
                <w:b w:val="0"/>
                <w:bCs w:val="0"/>
                <w:color w:val="FFFFFF"/>
                <w:lang w:eastAsia="zh-CN"/>
              </w:rPr>
            </w:pPr>
            <w:r w:rsidRPr="00864A1E">
              <w:rPr>
                <w:rFonts w:eastAsia="Times New Roman" w:cs="Times New Roman"/>
                <w:color w:val="FFFFFF"/>
                <w:lang w:eastAsia="zh-CN"/>
              </w:rPr>
              <w:t>MOVES Screen</w:t>
            </w:r>
          </w:p>
        </w:tc>
        <w:tc>
          <w:tcPr>
            <w:tcW w:w="0" w:type="auto"/>
            <w:tcBorders>
              <w:left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b w:val="0"/>
                <w:bCs w:val="0"/>
                <w:color w:val="FFFFFF"/>
                <w:lang w:eastAsia="zh-CN"/>
              </w:rPr>
            </w:pPr>
            <w:r w:rsidRPr="00864A1E">
              <w:rPr>
                <w:rFonts w:eastAsia="Times New Roman" w:cs="Times New Roman"/>
                <w:color w:val="FFFFFF"/>
                <w:lang w:eastAsia="zh-CN"/>
              </w:rPr>
              <w:t>Input Item</w:t>
            </w:r>
          </w:p>
        </w:tc>
        <w:tc>
          <w:tcPr>
            <w:tcW w:w="0" w:type="auto"/>
            <w:tcBorders>
              <w:left w:val="single" w:sz="4" w:space="0" w:color="FFFFFF" w:themeColor="background1"/>
              <w:right w:val="single" w:sz="4" w:space="0" w:color="FFFFFF" w:themeColor="background1"/>
            </w:tcBorders>
            <w:vAlign w:val="center"/>
            <w:hideMark/>
          </w:tcPr>
          <w:p w:rsidR="001D21F6" w:rsidRPr="00864A1E" w:rsidRDefault="00864A1E" w:rsidP="00864A1E">
            <w:pPr>
              <w:keepNext/>
              <w:jc w:val="center"/>
              <w:rPr>
                <w:rFonts w:eastAsia="Times New Roman" w:cs="Times New Roman"/>
                <w:b w:val="0"/>
                <w:bCs w:val="0"/>
                <w:color w:val="FFFFFF"/>
                <w:lang w:eastAsia="zh-CN"/>
              </w:rPr>
            </w:pPr>
            <w:r>
              <w:rPr>
                <w:rFonts w:eastAsia="Times New Roman" w:cs="Times New Roman"/>
                <w:color w:val="FFFFFF"/>
                <w:lang w:eastAsia="zh-CN"/>
              </w:rPr>
              <w:t>13-</w:t>
            </w:r>
            <w:r w:rsidR="001D21F6" w:rsidRPr="00864A1E">
              <w:rPr>
                <w:rFonts w:eastAsia="Times New Roman" w:cs="Times New Roman"/>
                <w:color w:val="FFFFFF"/>
                <w:lang w:eastAsia="zh-CN"/>
              </w:rPr>
              <w:t>County Ozone</w:t>
            </w:r>
          </w:p>
        </w:tc>
        <w:tc>
          <w:tcPr>
            <w:tcW w:w="0" w:type="auto"/>
            <w:tcBorders>
              <w:left w:val="single" w:sz="4" w:space="0" w:color="FFFFFF" w:themeColor="background1"/>
              <w:right w:val="single" w:sz="4" w:space="0" w:color="FFFFFF" w:themeColor="background1"/>
            </w:tcBorders>
            <w:vAlign w:val="center"/>
            <w:hideMark/>
          </w:tcPr>
          <w:p w:rsidR="001D21F6" w:rsidRPr="00864A1E" w:rsidRDefault="00864A1E" w:rsidP="00864A1E">
            <w:pPr>
              <w:keepNext/>
              <w:jc w:val="center"/>
              <w:rPr>
                <w:rFonts w:eastAsia="Times New Roman" w:cs="Times New Roman"/>
                <w:b w:val="0"/>
                <w:bCs w:val="0"/>
                <w:color w:val="FFFFFF"/>
                <w:lang w:eastAsia="zh-CN"/>
              </w:rPr>
            </w:pPr>
            <w:r>
              <w:rPr>
                <w:rFonts w:eastAsia="Times New Roman" w:cs="Times New Roman"/>
                <w:color w:val="FFFFFF"/>
                <w:lang w:eastAsia="zh-CN"/>
              </w:rPr>
              <w:t>13-</w:t>
            </w:r>
            <w:r w:rsidR="001D21F6" w:rsidRPr="00864A1E">
              <w:rPr>
                <w:rFonts w:eastAsia="Times New Roman" w:cs="Times New Roman"/>
                <w:color w:val="FFFFFF"/>
                <w:lang w:eastAsia="zh-CN"/>
              </w:rPr>
              <w:t>County PM</w:t>
            </w:r>
          </w:p>
        </w:tc>
        <w:tc>
          <w:tcPr>
            <w:tcW w:w="0" w:type="auto"/>
            <w:tcBorders>
              <w:left w:val="single" w:sz="4" w:space="0" w:color="FFFFFF" w:themeColor="background1"/>
              <w:right w:val="single" w:sz="4" w:space="0" w:color="FFFFFF" w:themeColor="background1"/>
            </w:tcBorders>
            <w:vAlign w:val="center"/>
            <w:hideMark/>
          </w:tcPr>
          <w:p w:rsidR="001D21F6" w:rsidRPr="00864A1E" w:rsidRDefault="00864A1E" w:rsidP="00864A1E">
            <w:pPr>
              <w:keepNext/>
              <w:jc w:val="center"/>
              <w:rPr>
                <w:rFonts w:eastAsia="Times New Roman" w:cs="Times New Roman"/>
                <w:b w:val="0"/>
                <w:bCs w:val="0"/>
                <w:color w:val="FFFFFF"/>
                <w:lang w:eastAsia="zh-CN"/>
              </w:rPr>
            </w:pPr>
            <w:r>
              <w:rPr>
                <w:rFonts w:eastAsia="Times New Roman" w:cs="Times New Roman"/>
                <w:color w:val="FFFFFF"/>
                <w:lang w:eastAsia="zh-CN"/>
              </w:rPr>
              <w:t>7-</w:t>
            </w:r>
            <w:r w:rsidR="001D21F6" w:rsidRPr="00864A1E">
              <w:rPr>
                <w:rFonts w:eastAsia="Times New Roman" w:cs="Times New Roman"/>
                <w:color w:val="FFFFFF"/>
                <w:lang w:eastAsia="zh-CN"/>
              </w:rPr>
              <w:t>County Ozone</w:t>
            </w:r>
          </w:p>
        </w:tc>
        <w:tc>
          <w:tcPr>
            <w:tcW w:w="0" w:type="auto"/>
            <w:tcBorders>
              <w:left w:val="single" w:sz="4" w:space="0" w:color="FFFFFF" w:themeColor="background1"/>
            </w:tcBorders>
            <w:vAlign w:val="center"/>
            <w:hideMark/>
          </w:tcPr>
          <w:p w:rsidR="00864A1E" w:rsidRDefault="00864A1E" w:rsidP="00864A1E">
            <w:pPr>
              <w:keepNext/>
              <w:jc w:val="center"/>
              <w:rPr>
                <w:rFonts w:eastAsia="Times New Roman" w:cs="Times New Roman"/>
                <w:color w:val="FFFFFF"/>
                <w:lang w:eastAsia="zh-CN"/>
              </w:rPr>
            </w:pPr>
            <w:r>
              <w:rPr>
                <w:rFonts w:eastAsia="Times New Roman" w:cs="Times New Roman"/>
                <w:color w:val="FFFFFF"/>
                <w:lang w:eastAsia="zh-CN"/>
              </w:rPr>
              <w:t>7-</w:t>
            </w:r>
            <w:r w:rsidR="001D21F6" w:rsidRPr="00864A1E">
              <w:rPr>
                <w:rFonts w:eastAsia="Times New Roman" w:cs="Times New Roman"/>
                <w:color w:val="FFFFFF"/>
                <w:lang w:eastAsia="zh-CN"/>
              </w:rPr>
              <w:t xml:space="preserve">County </w:t>
            </w:r>
          </w:p>
          <w:p w:rsidR="001D21F6" w:rsidRPr="00864A1E" w:rsidRDefault="001D21F6" w:rsidP="00864A1E">
            <w:pPr>
              <w:keepNext/>
              <w:jc w:val="center"/>
              <w:rPr>
                <w:rFonts w:eastAsia="Times New Roman" w:cs="Times New Roman"/>
                <w:b w:val="0"/>
                <w:bCs w:val="0"/>
                <w:color w:val="FFFFFF"/>
                <w:lang w:eastAsia="zh-CN"/>
              </w:rPr>
            </w:pPr>
            <w:r w:rsidRPr="00864A1E">
              <w:rPr>
                <w:rFonts w:eastAsia="Times New Roman" w:cs="Times New Roman"/>
                <w:color w:val="FFFFFF"/>
                <w:lang w:eastAsia="zh-CN"/>
              </w:rPr>
              <w:t>PM</w:t>
            </w:r>
          </w:p>
        </w:tc>
      </w:tr>
      <w:tr w:rsidR="00864A1E" w:rsidRPr="000458AC" w:rsidTr="00C21B97">
        <w:trPr>
          <w:cnfStyle w:val="000000100000"/>
          <w:trHeight w:val="330"/>
          <w:jc w:val="center"/>
        </w:trPr>
        <w:tc>
          <w:tcPr>
            <w:tcW w:w="0" w:type="auto"/>
            <w:tcBorders>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Description</w:t>
            </w:r>
          </w:p>
        </w:tc>
        <w:tc>
          <w:tcPr>
            <w:tcW w:w="0" w:type="auto"/>
            <w:tcBorders>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Description</w:t>
            </w:r>
          </w:p>
        </w:tc>
        <w:tc>
          <w:tcPr>
            <w:tcW w:w="0" w:type="auto"/>
            <w:gridSpan w:val="4"/>
            <w:tcBorders>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User Choice</w:t>
            </w:r>
          </w:p>
        </w:tc>
      </w:tr>
      <w:tr w:rsidR="00864A1E" w:rsidRPr="000458AC" w:rsidTr="00C21B97">
        <w:trPr>
          <w:trHeight w:val="315"/>
          <w:jc w:val="center"/>
        </w:trPr>
        <w:tc>
          <w:tcPr>
            <w:tcW w:w="0" w:type="auto"/>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Scale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Domain/Scale</w:t>
            </w:r>
          </w:p>
        </w:tc>
        <w:tc>
          <w:tcPr>
            <w:tcW w:w="0" w:type="auto"/>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County</w:t>
            </w:r>
          </w:p>
        </w:tc>
      </w:tr>
      <w:tr w:rsidR="00864A1E" w:rsidRPr="000458AC" w:rsidTr="00C21B97">
        <w:trPr>
          <w:cnfStyle w:val="000000100000"/>
          <w:trHeight w:val="315"/>
          <w:jc w:val="center"/>
        </w:trPr>
        <w:tc>
          <w:tcPr>
            <w:tcW w:w="0" w:type="auto"/>
            <w:vMerge/>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Calculation Type</w:t>
            </w:r>
          </w:p>
        </w:tc>
        <w:tc>
          <w:tcPr>
            <w:tcW w:w="0" w:type="auto"/>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Inventory</w:t>
            </w:r>
          </w:p>
        </w:tc>
      </w:tr>
      <w:tr w:rsidR="00864A1E" w:rsidRPr="000458AC" w:rsidTr="00C21B97">
        <w:trPr>
          <w:trHeight w:val="330"/>
          <w:jc w:val="center"/>
        </w:trPr>
        <w:tc>
          <w:tcPr>
            <w:tcW w:w="0" w:type="auto"/>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D9D9D9" w:themeFill="background1" w:themeFillShade="D9"/>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Time Spans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 xml:space="preserve">Time </w:t>
            </w:r>
            <w:proofErr w:type="spellStart"/>
            <w:r w:rsidRPr="00864A1E">
              <w:rPr>
                <w:rFonts w:eastAsia="Times New Roman" w:cs="Times New Roman"/>
                <w:color w:val="002060"/>
                <w:lang w:eastAsia="zh-CN"/>
              </w:rPr>
              <w:t>Agg</w:t>
            </w:r>
            <w:proofErr w:type="spellEnd"/>
            <w:r w:rsidRPr="00864A1E">
              <w:rPr>
                <w:rFonts w:eastAsia="Times New Roman" w:cs="Times New Roman"/>
                <w:color w:val="002060"/>
                <w:lang w:eastAsia="zh-CN"/>
              </w:rPr>
              <w:t>. Level</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Hour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Hour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Hour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Hour</w:t>
            </w:r>
          </w:p>
        </w:tc>
      </w:tr>
      <w:tr w:rsidR="00864A1E" w:rsidRPr="000458AC" w:rsidTr="00C21B97">
        <w:trPr>
          <w:cnfStyle w:val="000000100000"/>
          <w:trHeight w:val="315"/>
          <w:jc w:val="center"/>
        </w:trPr>
        <w:tc>
          <w:tcPr>
            <w:tcW w:w="0" w:type="auto"/>
            <w:vMerge/>
            <w:tcBorders>
              <w:top w:val="single" w:sz="4" w:space="0" w:color="auto"/>
              <w:left w:val="single" w:sz="4" w:space="0" w:color="FFFFFF" w:themeColor="background1"/>
              <w:bottom w:val="single" w:sz="4" w:space="0" w:color="auto"/>
              <w:right w:val="single" w:sz="4" w:space="0" w:color="FFFFFF" w:themeColor="background1"/>
            </w:tcBorders>
            <w:shd w:val="clear" w:color="auto" w:fill="D9D9D9" w:themeFill="background1" w:themeFillShade="D9"/>
            <w:vAlign w:val="center"/>
            <w:hideMark/>
          </w:tcPr>
          <w:p w:rsidR="001D21F6" w:rsidRPr="00864A1E" w:rsidRDefault="001D21F6" w:rsidP="00864A1E">
            <w:pPr>
              <w:keepNext/>
              <w:jc w:val="center"/>
              <w:rPr>
                <w:rFonts w:eastAsia="Times New Roman" w:cs="Times New Roman"/>
                <w:color w:val="002060"/>
                <w:lang w:eastAsia="zh-CN"/>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Year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Varies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Varies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Varies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Varies</w:t>
            </w:r>
          </w:p>
        </w:tc>
      </w:tr>
      <w:tr w:rsidR="00864A1E" w:rsidRPr="000458AC" w:rsidTr="00C21B97">
        <w:trPr>
          <w:trHeight w:val="315"/>
          <w:jc w:val="center"/>
        </w:trPr>
        <w:tc>
          <w:tcPr>
            <w:tcW w:w="0" w:type="auto"/>
            <w:vMerge/>
            <w:tcBorders>
              <w:top w:val="single" w:sz="4" w:space="0" w:color="auto"/>
              <w:left w:val="single" w:sz="4" w:space="0" w:color="FFFFFF" w:themeColor="background1"/>
              <w:bottom w:val="single" w:sz="4" w:space="0" w:color="auto"/>
              <w:right w:val="single" w:sz="4" w:space="0" w:color="FFFFFF" w:themeColor="background1"/>
            </w:tcBorders>
            <w:shd w:val="clear" w:color="auto" w:fill="D9D9D9" w:themeFill="background1" w:themeFillShade="D9"/>
            <w:vAlign w:val="center"/>
            <w:hideMark/>
          </w:tcPr>
          <w:p w:rsidR="001D21F6" w:rsidRPr="00864A1E" w:rsidRDefault="001D21F6" w:rsidP="00864A1E">
            <w:pPr>
              <w:keepNext/>
              <w:jc w:val="center"/>
              <w:rPr>
                <w:rFonts w:eastAsia="Times New Roman" w:cs="Times New Roman"/>
                <w:color w:val="002060"/>
                <w:lang w:eastAsia="zh-CN"/>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Months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July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July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July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July</w:t>
            </w:r>
          </w:p>
        </w:tc>
      </w:tr>
      <w:tr w:rsidR="00864A1E" w:rsidRPr="000458AC" w:rsidTr="00C21B97">
        <w:trPr>
          <w:cnfStyle w:val="000000100000"/>
          <w:trHeight w:val="315"/>
          <w:jc w:val="center"/>
        </w:trPr>
        <w:tc>
          <w:tcPr>
            <w:tcW w:w="0" w:type="auto"/>
            <w:vMerge/>
            <w:tcBorders>
              <w:top w:val="single" w:sz="4" w:space="0" w:color="auto"/>
              <w:left w:val="single" w:sz="4" w:space="0" w:color="FFFFFF" w:themeColor="background1"/>
              <w:bottom w:val="single" w:sz="4" w:space="0" w:color="auto"/>
              <w:right w:val="single" w:sz="4" w:space="0" w:color="FFFFFF" w:themeColor="background1"/>
            </w:tcBorders>
            <w:shd w:val="clear" w:color="auto" w:fill="D9D9D9" w:themeFill="background1" w:themeFillShade="D9"/>
            <w:vAlign w:val="center"/>
            <w:hideMark/>
          </w:tcPr>
          <w:p w:rsidR="001D21F6" w:rsidRPr="00864A1E" w:rsidRDefault="001D21F6" w:rsidP="00864A1E">
            <w:pPr>
              <w:keepNext/>
              <w:jc w:val="center"/>
              <w:rPr>
                <w:rFonts w:eastAsia="Times New Roman" w:cs="Times New Roman"/>
                <w:color w:val="002060"/>
                <w:lang w:eastAsia="zh-CN"/>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Days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Weekday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Weekday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Weekday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Weekday</w:t>
            </w:r>
          </w:p>
        </w:tc>
      </w:tr>
      <w:tr w:rsidR="00864A1E" w:rsidRPr="000458AC" w:rsidTr="00C21B97">
        <w:trPr>
          <w:trHeight w:val="315"/>
          <w:jc w:val="center"/>
        </w:trPr>
        <w:tc>
          <w:tcPr>
            <w:tcW w:w="0" w:type="auto"/>
            <w:vMerge/>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hideMark/>
          </w:tcPr>
          <w:p w:rsidR="001D21F6" w:rsidRPr="00864A1E" w:rsidRDefault="001D21F6" w:rsidP="00864A1E">
            <w:pPr>
              <w:keepNext/>
              <w:jc w:val="center"/>
              <w:rPr>
                <w:rFonts w:eastAsia="Times New Roman" w:cs="Times New Roman"/>
                <w:color w:val="002060"/>
                <w:lang w:eastAsia="zh-CN"/>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Hours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Select All</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Select All</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Select All</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Select All</w:t>
            </w:r>
          </w:p>
        </w:tc>
      </w:tr>
      <w:tr w:rsidR="00864A1E" w:rsidRPr="000458AC" w:rsidTr="00C21B97">
        <w:trPr>
          <w:cnfStyle w:val="000000100000"/>
          <w:trHeight w:val="330"/>
          <w:jc w:val="center"/>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Geographic Bounds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Geographic Bounds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Fulton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Fulton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Bartow</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Bartow</w:t>
            </w:r>
          </w:p>
        </w:tc>
      </w:tr>
      <w:tr w:rsidR="00864A1E" w:rsidRPr="000458AC" w:rsidTr="00C21B97">
        <w:trPr>
          <w:trHeight w:val="315"/>
          <w:jc w:val="center"/>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Vehicles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Vehicles</w:t>
            </w:r>
          </w:p>
        </w:tc>
        <w:tc>
          <w:tcPr>
            <w:tcW w:w="0" w:type="auto"/>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All Gas &amp; Diesel Combinations + CNG Transit Buses</w:t>
            </w:r>
          </w:p>
        </w:tc>
      </w:tr>
      <w:tr w:rsidR="00864A1E" w:rsidRPr="000458AC" w:rsidTr="00C21B97">
        <w:trPr>
          <w:cnfStyle w:val="000000100000"/>
          <w:trHeight w:val="315"/>
          <w:jc w:val="center"/>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Road Type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Road Type</w:t>
            </w:r>
          </w:p>
        </w:tc>
        <w:tc>
          <w:tcPr>
            <w:tcW w:w="0" w:type="auto"/>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Select All</w:t>
            </w:r>
          </w:p>
        </w:tc>
      </w:tr>
      <w:tr w:rsidR="00864A1E" w:rsidRPr="000458AC" w:rsidTr="00C21B97">
        <w:trPr>
          <w:trHeight w:val="615"/>
          <w:jc w:val="center"/>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Pollutants/ Processes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Pollutants/Processes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864A1E" w:rsidP="00864A1E">
            <w:pPr>
              <w:keepNext/>
              <w:jc w:val="center"/>
              <w:rPr>
                <w:rFonts w:eastAsia="Times New Roman" w:cs="Times New Roman"/>
                <w:color w:val="002060"/>
                <w:lang w:eastAsia="zh-CN"/>
              </w:rPr>
            </w:pPr>
            <w:r>
              <w:rPr>
                <w:rFonts w:eastAsia="Times New Roman" w:cs="Times New Roman"/>
                <w:color w:val="002060"/>
                <w:lang w:eastAsia="zh-CN"/>
              </w:rPr>
              <w:t>VOC, NO</w:t>
            </w:r>
            <w:r>
              <w:rPr>
                <w:rFonts w:eastAsia="Times New Roman" w:cs="Times New Roman"/>
                <w:color w:val="002060"/>
                <w:vertAlign w:val="subscript"/>
                <w:lang w:eastAsia="zh-CN"/>
              </w:rPr>
              <w:t>x</w:t>
            </w:r>
            <w:r w:rsidR="001D21F6" w:rsidRPr="00864A1E">
              <w:rPr>
                <w:rFonts w:eastAsia="Times New Roman" w:cs="Times New Roman"/>
                <w:color w:val="002060"/>
                <w:lang w:eastAsia="zh-CN"/>
              </w:rPr>
              <w:t>, and supporting</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PM</w:t>
            </w:r>
            <w:r w:rsidRPr="00864A1E">
              <w:rPr>
                <w:rFonts w:eastAsia="Times New Roman" w:cs="Times New Roman"/>
                <w:color w:val="002060"/>
                <w:vertAlign w:val="subscript"/>
                <w:lang w:eastAsia="zh-CN"/>
              </w:rPr>
              <w:t>2.5</w:t>
            </w:r>
            <w:r w:rsidRPr="00864A1E">
              <w:rPr>
                <w:rFonts w:eastAsia="Times New Roman" w:cs="Times New Roman"/>
                <w:color w:val="002060"/>
                <w:lang w:eastAsia="zh-CN"/>
              </w:rPr>
              <w:t xml:space="preserve"> with all sub-species</w:t>
            </w:r>
            <w:r w:rsidR="00864A1E">
              <w:rPr>
                <w:rFonts w:eastAsia="Times New Roman" w:cs="Times New Roman"/>
                <w:color w:val="002060"/>
                <w:lang w:eastAsia="zh-CN"/>
              </w:rPr>
              <w:t>, NO</w:t>
            </w:r>
            <w:r w:rsidR="00864A1E">
              <w:rPr>
                <w:rFonts w:eastAsia="Times New Roman" w:cs="Times New Roman"/>
                <w:color w:val="002060"/>
                <w:vertAlign w:val="subscript"/>
                <w:lang w:eastAsia="zh-CN"/>
              </w:rPr>
              <w:t>x</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VOC, NO</w:t>
            </w:r>
            <w:r w:rsidRPr="00864A1E">
              <w:rPr>
                <w:rFonts w:eastAsia="Times New Roman" w:cs="Times New Roman"/>
                <w:color w:val="002060"/>
                <w:vertAlign w:val="subscript"/>
                <w:lang w:eastAsia="zh-CN"/>
              </w:rPr>
              <w:t>x</w:t>
            </w:r>
            <w:r w:rsidRPr="00864A1E">
              <w:rPr>
                <w:rFonts w:eastAsia="Times New Roman" w:cs="Times New Roman"/>
                <w:color w:val="002060"/>
                <w:lang w:eastAsia="zh-CN"/>
              </w:rPr>
              <w:t>, and supporting</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PM</w:t>
            </w:r>
            <w:r w:rsidRPr="00864A1E">
              <w:rPr>
                <w:rFonts w:eastAsia="Times New Roman" w:cs="Times New Roman"/>
                <w:color w:val="002060"/>
                <w:vertAlign w:val="subscript"/>
                <w:lang w:eastAsia="zh-CN"/>
              </w:rPr>
              <w:t>2.5</w:t>
            </w:r>
            <w:r w:rsidRPr="00864A1E">
              <w:rPr>
                <w:rFonts w:eastAsia="Times New Roman" w:cs="Times New Roman"/>
                <w:color w:val="002060"/>
                <w:lang w:eastAsia="zh-CN"/>
              </w:rPr>
              <w:t xml:space="preserve"> with all sub-species</w:t>
            </w:r>
            <w:r w:rsidR="00864A1E">
              <w:rPr>
                <w:rFonts w:eastAsia="Times New Roman" w:cs="Times New Roman"/>
                <w:color w:val="002060"/>
                <w:lang w:eastAsia="zh-CN"/>
              </w:rPr>
              <w:t>, NO</w:t>
            </w:r>
            <w:r w:rsidR="00864A1E">
              <w:rPr>
                <w:rFonts w:eastAsia="Times New Roman" w:cs="Times New Roman"/>
                <w:color w:val="002060"/>
                <w:vertAlign w:val="subscript"/>
                <w:lang w:eastAsia="zh-CN"/>
              </w:rPr>
              <w:t>x</w:t>
            </w:r>
          </w:p>
        </w:tc>
      </w:tr>
      <w:tr w:rsidR="00864A1E" w:rsidRPr="000458AC" w:rsidTr="00C21B97">
        <w:trPr>
          <w:cnfStyle w:val="000000100000"/>
          <w:trHeight w:val="630"/>
          <w:jc w:val="center"/>
        </w:trPr>
        <w:tc>
          <w:tcPr>
            <w:tcW w:w="0" w:type="auto"/>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General Output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Database Name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864A1E" w:rsidP="00864A1E">
            <w:pPr>
              <w:keepNext/>
              <w:jc w:val="center"/>
              <w:rPr>
                <w:rFonts w:eastAsia="Times New Roman" w:cs="Times New Roman"/>
                <w:color w:val="002060"/>
                <w:lang w:eastAsia="zh-CN"/>
              </w:rPr>
            </w:pPr>
            <w:r>
              <w:rPr>
                <w:rFonts w:eastAsia="Times New Roman" w:cs="Times New Roman"/>
                <w:color w:val="002060"/>
                <w:lang w:eastAsia="zh-CN"/>
              </w:rPr>
              <w:t>13-</w:t>
            </w:r>
            <w:r w:rsidR="001D21F6" w:rsidRPr="00864A1E">
              <w:rPr>
                <w:rFonts w:eastAsia="Times New Roman" w:cs="Times New Roman"/>
                <w:color w:val="002060"/>
                <w:lang w:eastAsia="zh-CN"/>
              </w:rPr>
              <w:t>County Ozone [Year]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864A1E" w:rsidP="00864A1E">
            <w:pPr>
              <w:keepNext/>
              <w:jc w:val="center"/>
              <w:rPr>
                <w:rFonts w:eastAsia="Times New Roman" w:cs="Times New Roman"/>
                <w:color w:val="002060"/>
                <w:lang w:eastAsia="zh-CN"/>
              </w:rPr>
            </w:pPr>
            <w:r>
              <w:rPr>
                <w:rFonts w:eastAsia="Times New Roman" w:cs="Times New Roman"/>
                <w:color w:val="002060"/>
                <w:lang w:eastAsia="zh-CN"/>
              </w:rPr>
              <w:t>13-</w:t>
            </w:r>
            <w:r w:rsidR="001D21F6" w:rsidRPr="00864A1E">
              <w:rPr>
                <w:rFonts w:eastAsia="Times New Roman" w:cs="Times New Roman"/>
                <w:color w:val="002060"/>
                <w:lang w:eastAsia="zh-CN"/>
              </w:rPr>
              <w:t>County PM [Year]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864A1E" w:rsidP="00864A1E">
            <w:pPr>
              <w:keepNext/>
              <w:jc w:val="center"/>
              <w:rPr>
                <w:rFonts w:eastAsia="Times New Roman" w:cs="Times New Roman"/>
                <w:color w:val="002060"/>
                <w:lang w:eastAsia="zh-CN"/>
              </w:rPr>
            </w:pPr>
            <w:r>
              <w:rPr>
                <w:rFonts w:eastAsia="Times New Roman" w:cs="Times New Roman"/>
                <w:color w:val="002060"/>
                <w:lang w:eastAsia="zh-CN"/>
              </w:rPr>
              <w:t>7-</w:t>
            </w:r>
            <w:r w:rsidR="001D21F6" w:rsidRPr="00864A1E">
              <w:rPr>
                <w:rFonts w:eastAsia="Times New Roman" w:cs="Times New Roman"/>
                <w:color w:val="002060"/>
                <w:lang w:eastAsia="zh-CN"/>
              </w:rPr>
              <w:t>County Ozone [Year]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864A1E" w:rsidP="00864A1E">
            <w:pPr>
              <w:keepNext/>
              <w:jc w:val="center"/>
              <w:rPr>
                <w:rFonts w:eastAsia="Times New Roman" w:cs="Times New Roman"/>
                <w:color w:val="002060"/>
                <w:lang w:eastAsia="zh-CN"/>
              </w:rPr>
            </w:pPr>
            <w:r>
              <w:rPr>
                <w:rFonts w:eastAsia="Times New Roman" w:cs="Times New Roman"/>
                <w:color w:val="002060"/>
                <w:lang w:eastAsia="zh-CN"/>
              </w:rPr>
              <w:t>7-</w:t>
            </w:r>
            <w:r w:rsidR="001D21F6" w:rsidRPr="00864A1E">
              <w:rPr>
                <w:rFonts w:eastAsia="Times New Roman" w:cs="Times New Roman"/>
                <w:color w:val="002060"/>
                <w:lang w:eastAsia="zh-CN"/>
              </w:rPr>
              <w:t>County PM [Year]</w:t>
            </w:r>
          </w:p>
        </w:tc>
      </w:tr>
      <w:tr w:rsidR="00864A1E" w:rsidRPr="000458AC" w:rsidTr="00C21B97">
        <w:trPr>
          <w:trHeight w:val="315"/>
          <w:jc w:val="center"/>
        </w:trPr>
        <w:tc>
          <w:tcPr>
            <w:tcW w:w="0" w:type="auto"/>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Units</w:t>
            </w:r>
          </w:p>
        </w:tc>
        <w:tc>
          <w:tcPr>
            <w:tcW w:w="0" w:type="auto"/>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Select "Grams", "</w:t>
            </w:r>
            <w:r w:rsidR="00864A1E">
              <w:rPr>
                <w:rFonts w:eastAsia="Times New Roman" w:cs="Times New Roman"/>
                <w:color w:val="002060"/>
                <w:lang w:eastAsia="zh-CN"/>
              </w:rPr>
              <w:t>Joules</w:t>
            </w:r>
            <w:r w:rsidRPr="00864A1E">
              <w:rPr>
                <w:rFonts w:eastAsia="Times New Roman" w:cs="Times New Roman"/>
                <w:color w:val="002060"/>
                <w:lang w:eastAsia="zh-CN"/>
              </w:rPr>
              <w:t>", and "Miles"</w:t>
            </w:r>
          </w:p>
        </w:tc>
      </w:tr>
      <w:tr w:rsidR="00864A1E" w:rsidRPr="000458AC" w:rsidTr="00C21B97">
        <w:trPr>
          <w:cnfStyle w:val="000000100000"/>
          <w:trHeight w:val="315"/>
          <w:jc w:val="center"/>
        </w:trPr>
        <w:tc>
          <w:tcPr>
            <w:tcW w:w="0" w:type="auto"/>
            <w:vMerge/>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Activity</w:t>
            </w:r>
          </w:p>
        </w:tc>
        <w:tc>
          <w:tcPr>
            <w:tcW w:w="0" w:type="auto"/>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No Selections Required</w:t>
            </w:r>
          </w:p>
        </w:tc>
      </w:tr>
      <w:tr w:rsidR="00864A1E" w:rsidRPr="000458AC" w:rsidTr="00C21B97">
        <w:trPr>
          <w:trHeight w:val="615"/>
          <w:jc w:val="center"/>
        </w:trPr>
        <w:tc>
          <w:tcPr>
            <w:tcW w:w="0" w:type="auto"/>
            <w:tcBorders>
              <w:top w:val="single" w:sz="4" w:space="0" w:color="FFFFFF" w:themeColor="background1"/>
              <w:left w:val="single" w:sz="4" w:space="0" w:color="FFFFFF" w:themeColor="background1"/>
              <w:bottom w:val="single" w:sz="18" w:space="0" w:color="auto"/>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Output Emissions Detail</w:t>
            </w:r>
          </w:p>
        </w:tc>
        <w:tc>
          <w:tcPr>
            <w:tcW w:w="0" w:type="auto"/>
            <w:tcBorders>
              <w:top w:val="single" w:sz="4" w:space="0" w:color="FFFFFF" w:themeColor="background1"/>
              <w:left w:val="single" w:sz="4" w:space="0" w:color="FFFFFF" w:themeColor="background1"/>
              <w:bottom w:val="single" w:sz="18" w:space="0" w:color="auto"/>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On Road</w:t>
            </w:r>
          </w:p>
        </w:tc>
        <w:tc>
          <w:tcPr>
            <w:tcW w:w="0" w:type="auto"/>
            <w:gridSpan w:val="4"/>
            <w:tcBorders>
              <w:top w:val="single" w:sz="4" w:space="0" w:color="FFFFFF" w:themeColor="background1"/>
              <w:left w:val="single" w:sz="4" w:space="0" w:color="FFFFFF" w:themeColor="background1"/>
              <w:bottom w:val="single" w:sz="18" w:space="0" w:color="auto"/>
              <w:right w:val="single" w:sz="4" w:space="0" w:color="FFFFFF" w:themeColor="background1"/>
            </w:tcBorders>
            <w:vAlign w:val="center"/>
            <w:hideMark/>
          </w:tcPr>
          <w:p w:rsidR="001D21F6" w:rsidRPr="00864A1E" w:rsidRDefault="001D21F6" w:rsidP="00864A1E">
            <w:pPr>
              <w:keepNext/>
              <w:jc w:val="center"/>
              <w:rPr>
                <w:rFonts w:eastAsia="Times New Roman" w:cs="Times New Roman"/>
                <w:color w:val="002060"/>
                <w:lang w:eastAsia="zh-CN"/>
              </w:rPr>
            </w:pPr>
            <w:r w:rsidRPr="00864A1E">
              <w:rPr>
                <w:rFonts w:eastAsia="Times New Roman" w:cs="Times New Roman"/>
                <w:color w:val="002060"/>
                <w:lang w:eastAsia="zh-CN"/>
              </w:rPr>
              <w:t>Select "Source Use Type"</w:t>
            </w:r>
          </w:p>
        </w:tc>
      </w:tr>
    </w:tbl>
    <w:p w:rsidR="001D21F6" w:rsidRPr="001D21F6" w:rsidRDefault="001D21F6" w:rsidP="001D21F6">
      <w:pPr>
        <w:jc w:val="both"/>
      </w:pPr>
    </w:p>
    <w:p w:rsidR="00E54FD7" w:rsidRDefault="00E54FD7">
      <w:pPr>
        <w:rPr>
          <w:rFonts w:asciiTheme="majorHAnsi" w:eastAsiaTheme="majorEastAsia" w:hAnsiTheme="majorHAnsi" w:cstheme="majorBidi"/>
          <w:b/>
          <w:bCs/>
          <w:color w:val="365F91" w:themeColor="accent1" w:themeShade="BF"/>
          <w:sz w:val="28"/>
          <w:szCs w:val="28"/>
        </w:rPr>
      </w:pPr>
      <w:r>
        <w:br w:type="page"/>
      </w:r>
    </w:p>
    <w:p w:rsidR="00F32808" w:rsidRPr="00F32808" w:rsidRDefault="00F77DFA" w:rsidP="00815A61">
      <w:pPr>
        <w:pStyle w:val="Heading1"/>
        <w:spacing w:after="200"/>
      </w:pPr>
      <w:bookmarkStart w:id="23" w:name="_Toc307469373"/>
      <w:bookmarkStart w:id="24" w:name="_Toc307490341"/>
      <w:r>
        <w:lastRenderedPageBreak/>
        <w:t>MOVES Inp</w:t>
      </w:r>
      <w:r w:rsidR="00C21B97">
        <w:t>ut Development – Travel Demand P</w:t>
      </w:r>
      <w:r>
        <w:t>ost Processing Procedures</w:t>
      </w:r>
      <w:bookmarkEnd w:id="23"/>
      <w:bookmarkEnd w:id="24"/>
    </w:p>
    <w:p w:rsidR="00F32808" w:rsidRPr="00233A0E" w:rsidRDefault="00F32808" w:rsidP="00815A61">
      <w:pPr>
        <w:pStyle w:val="CM63"/>
        <w:spacing w:after="200" w:line="276" w:lineRule="auto"/>
        <w:jc w:val="both"/>
        <w:rPr>
          <w:rFonts w:asciiTheme="minorHAnsi" w:hAnsiTheme="minorHAnsi"/>
          <w:sz w:val="22"/>
          <w:szCs w:val="22"/>
        </w:rPr>
      </w:pPr>
      <w:r w:rsidRPr="00233A0E">
        <w:rPr>
          <w:rFonts w:asciiTheme="minorHAnsi" w:hAnsiTheme="minorHAnsi"/>
          <w:sz w:val="22"/>
          <w:szCs w:val="22"/>
        </w:rPr>
        <w:t xml:space="preserve">The Atlanta regional travel demand model produces estimates of travel and vehicle hours traveled (VHT) and for each link in the highway network for four separate </w:t>
      </w:r>
      <w:proofErr w:type="gramStart"/>
      <w:r w:rsidRPr="00233A0E">
        <w:rPr>
          <w:rFonts w:asciiTheme="minorHAnsi" w:hAnsiTheme="minorHAnsi"/>
          <w:sz w:val="22"/>
          <w:szCs w:val="22"/>
        </w:rPr>
        <w:t>time</w:t>
      </w:r>
      <w:proofErr w:type="gramEnd"/>
      <w:r w:rsidRPr="00233A0E">
        <w:rPr>
          <w:rFonts w:asciiTheme="minorHAnsi" w:hAnsiTheme="minorHAnsi"/>
          <w:sz w:val="22"/>
          <w:szCs w:val="22"/>
        </w:rPr>
        <w:t xml:space="preserve"> of day periods.  The links from the highway assignment contain a variety of attributes such as the number of lanes, distance, speed, capacities and daily volumes.  In order to account for travel conditions throughout the day,</w:t>
      </w:r>
      <w:r w:rsidR="00E51C3B">
        <w:rPr>
          <w:rFonts w:asciiTheme="minorHAnsi" w:hAnsiTheme="minorHAnsi"/>
          <w:sz w:val="22"/>
          <w:szCs w:val="22"/>
        </w:rPr>
        <w:t xml:space="preserve"> vehicle miles traveled</w:t>
      </w:r>
      <w:r w:rsidRPr="00233A0E">
        <w:rPr>
          <w:rFonts w:asciiTheme="minorHAnsi" w:hAnsiTheme="minorHAnsi"/>
          <w:sz w:val="22"/>
          <w:szCs w:val="22"/>
        </w:rPr>
        <w:t xml:space="preserve"> </w:t>
      </w:r>
      <w:r w:rsidR="00E51C3B">
        <w:rPr>
          <w:rFonts w:asciiTheme="minorHAnsi" w:hAnsiTheme="minorHAnsi"/>
          <w:sz w:val="22"/>
          <w:szCs w:val="22"/>
        </w:rPr>
        <w:t>(</w:t>
      </w:r>
      <w:r w:rsidRPr="00233A0E">
        <w:rPr>
          <w:rFonts w:asciiTheme="minorHAnsi" w:hAnsiTheme="minorHAnsi"/>
          <w:sz w:val="22"/>
          <w:szCs w:val="22"/>
        </w:rPr>
        <w:t>VMT</w:t>
      </w:r>
      <w:r w:rsidR="00E51C3B">
        <w:rPr>
          <w:rFonts w:asciiTheme="minorHAnsi" w:hAnsiTheme="minorHAnsi"/>
          <w:sz w:val="22"/>
          <w:szCs w:val="22"/>
        </w:rPr>
        <w:t>)</w:t>
      </w:r>
      <w:r w:rsidRPr="00233A0E">
        <w:rPr>
          <w:rFonts w:asciiTheme="minorHAnsi" w:hAnsiTheme="minorHAnsi"/>
          <w:sz w:val="22"/>
          <w:szCs w:val="22"/>
        </w:rPr>
        <w:t xml:space="preserve"> estimates, times and speeds by hour were produced.  Other refinements to the network link data discussed below were performed to produce the files needed for MOVES.  The highway and transit assignments were used in addition to </w:t>
      </w:r>
      <w:r w:rsidR="00E51C3B">
        <w:rPr>
          <w:rFonts w:asciiTheme="minorHAnsi" w:hAnsiTheme="minorHAnsi"/>
          <w:sz w:val="22"/>
          <w:szCs w:val="22"/>
        </w:rPr>
        <w:t>Highway Performance Monitoring System (</w:t>
      </w:r>
      <w:r w:rsidRPr="00233A0E">
        <w:rPr>
          <w:rFonts w:asciiTheme="minorHAnsi" w:hAnsiTheme="minorHAnsi"/>
          <w:sz w:val="22"/>
          <w:szCs w:val="22"/>
        </w:rPr>
        <w:t>HPMS</w:t>
      </w:r>
      <w:r w:rsidR="00E51C3B">
        <w:rPr>
          <w:rFonts w:asciiTheme="minorHAnsi" w:hAnsiTheme="minorHAnsi"/>
          <w:sz w:val="22"/>
          <w:szCs w:val="22"/>
        </w:rPr>
        <w:t>)</w:t>
      </w:r>
      <w:r w:rsidRPr="00233A0E">
        <w:rPr>
          <w:rFonts w:asciiTheme="minorHAnsi" w:hAnsiTheme="minorHAnsi"/>
          <w:sz w:val="22"/>
          <w:szCs w:val="22"/>
        </w:rPr>
        <w:t xml:space="preserve"> counts, </w:t>
      </w:r>
      <w:r w:rsidR="00E51C3B">
        <w:rPr>
          <w:rFonts w:asciiTheme="minorHAnsi" w:hAnsiTheme="minorHAnsi"/>
          <w:sz w:val="22"/>
          <w:szCs w:val="22"/>
        </w:rPr>
        <w:t>Georgia Department of Transportation (</w:t>
      </w:r>
      <w:r w:rsidRPr="00233A0E">
        <w:rPr>
          <w:rFonts w:asciiTheme="minorHAnsi" w:hAnsiTheme="minorHAnsi"/>
          <w:sz w:val="22"/>
          <w:szCs w:val="22"/>
        </w:rPr>
        <w:t>GDOT</w:t>
      </w:r>
      <w:r w:rsidR="00E51C3B">
        <w:rPr>
          <w:rFonts w:asciiTheme="minorHAnsi" w:hAnsiTheme="minorHAnsi"/>
          <w:sz w:val="22"/>
          <w:szCs w:val="22"/>
        </w:rPr>
        <w:t>)</w:t>
      </w:r>
      <w:r w:rsidRPr="00233A0E">
        <w:rPr>
          <w:rFonts w:asciiTheme="minorHAnsi" w:hAnsiTheme="minorHAnsi"/>
          <w:sz w:val="22"/>
          <w:szCs w:val="22"/>
        </w:rPr>
        <w:t xml:space="preserve"> vehicle classification</w:t>
      </w:r>
      <w:r w:rsidR="00BF4DD9">
        <w:rPr>
          <w:rFonts w:asciiTheme="minorHAnsi" w:hAnsiTheme="minorHAnsi"/>
          <w:sz w:val="22"/>
          <w:szCs w:val="22"/>
        </w:rPr>
        <w:t xml:space="preserve"> </w:t>
      </w:r>
      <w:r w:rsidR="0050210A" w:rsidRPr="00233A0E">
        <w:rPr>
          <w:rFonts w:asciiTheme="minorHAnsi" w:hAnsiTheme="minorHAnsi"/>
          <w:sz w:val="22"/>
          <w:szCs w:val="22"/>
        </w:rPr>
        <w:t>counts</w:t>
      </w:r>
      <w:r w:rsidR="0050210A">
        <w:rPr>
          <w:rStyle w:val="FootnoteReference"/>
          <w:sz w:val="22"/>
          <w:szCs w:val="22"/>
        </w:rPr>
        <w:footnoteReference w:id="7"/>
      </w:r>
      <w:r w:rsidR="0050210A" w:rsidRPr="00233A0E">
        <w:rPr>
          <w:rFonts w:asciiTheme="minorHAnsi" w:hAnsiTheme="minorHAnsi"/>
          <w:sz w:val="22"/>
          <w:szCs w:val="22"/>
        </w:rPr>
        <w:t xml:space="preserve"> </w:t>
      </w:r>
      <w:r w:rsidRPr="00233A0E">
        <w:rPr>
          <w:rFonts w:asciiTheme="minorHAnsi" w:hAnsiTheme="minorHAnsi"/>
          <w:sz w:val="22"/>
          <w:szCs w:val="22"/>
        </w:rPr>
        <w:t xml:space="preserve">and MOVES defaults to develop input files for MOVES using Cube Voyager scripts. </w:t>
      </w:r>
    </w:p>
    <w:p w:rsidR="00F32808" w:rsidRDefault="00F32808" w:rsidP="00815A61">
      <w:pPr>
        <w:pStyle w:val="Heading2"/>
      </w:pPr>
      <w:bookmarkStart w:id="25" w:name="_Toc307469374"/>
      <w:bookmarkStart w:id="26" w:name="_Toc307490342"/>
      <w:r w:rsidRPr="00F32808">
        <w:t>VMT Adjustment Factors</w:t>
      </w:r>
      <w:bookmarkEnd w:id="25"/>
      <w:bookmarkEnd w:id="26"/>
      <w:r w:rsidRPr="00F32808">
        <w:t xml:space="preserve"> </w:t>
      </w:r>
    </w:p>
    <w:p w:rsidR="00EC1DCD" w:rsidRDefault="00F32808" w:rsidP="00EC1DCD">
      <w:pPr>
        <w:pStyle w:val="Default"/>
        <w:spacing w:after="200" w:line="276" w:lineRule="auto"/>
        <w:jc w:val="both"/>
        <w:rPr>
          <w:rFonts w:asciiTheme="minorHAnsi" w:hAnsiTheme="minorHAnsi"/>
          <w:sz w:val="22"/>
          <w:szCs w:val="22"/>
        </w:rPr>
      </w:pPr>
      <w:r w:rsidRPr="00233A0E">
        <w:rPr>
          <w:rFonts w:asciiTheme="minorHAnsi" w:hAnsiTheme="minorHAnsi"/>
          <w:sz w:val="22"/>
          <w:szCs w:val="22"/>
        </w:rPr>
        <w:t>Traffic volumes produced by the travel model are adjusted within the emissions modeling process by applying a VMT adjustment factor, which is a combination of HPMS adjustment factors, used to reconcile travel model VMT to HPMS VMT estimates</w:t>
      </w:r>
      <w:r w:rsidR="00820EC9">
        <w:rPr>
          <w:rFonts w:asciiTheme="minorHAnsi" w:hAnsiTheme="minorHAnsi"/>
          <w:sz w:val="22"/>
          <w:szCs w:val="22"/>
        </w:rPr>
        <w:t>,</w:t>
      </w:r>
      <w:r w:rsidRPr="00233A0E">
        <w:rPr>
          <w:rStyle w:val="FootnoteReference"/>
          <w:rFonts w:asciiTheme="minorHAnsi" w:hAnsiTheme="minorHAnsi"/>
          <w:sz w:val="22"/>
          <w:szCs w:val="22"/>
        </w:rPr>
        <w:footnoteReference w:id="8"/>
      </w:r>
      <w:r w:rsidRPr="00233A0E">
        <w:rPr>
          <w:rFonts w:asciiTheme="minorHAnsi" w:hAnsiTheme="minorHAnsi"/>
          <w:sz w:val="22"/>
          <w:szCs w:val="22"/>
        </w:rPr>
        <w:t xml:space="preserve"> and to reflect seasonal adjustment.  For the purpose of ozone precursor emissions modeling</w:t>
      </w:r>
      <w:r w:rsidR="00820EC9">
        <w:rPr>
          <w:rFonts w:asciiTheme="minorHAnsi" w:hAnsiTheme="minorHAnsi"/>
          <w:sz w:val="22"/>
          <w:szCs w:val="22"/>
        </w:rPr>
        <w:t>,</w:t>
      </w:r>
      <w:r w:rsidRPr="00233A0E">
        <w:rPr>
          <w:rStyle w:val="FootnoteReference"/>
          <w:rFonts w:asciiTheme="minorHAnsi" w:hAnsiTheme="minorHAnsi"/>
          <w:sz w:val="22"/>
          <w:szCs w:val="22"/>
        </w:rPr>
        <w:footnoteReference w:id="9"/>
      </w:r>
      <w:r w:rsidRPr="00233A0E">
        <w:rPr>
          <w:rFonts w:asciiTheme="minorHAnsi" w:hAnsiTheme="minorHAnsi"/>
          <w:sz w:val="22"/>
          <w:szCs w:val="22"/>
          <w:vertAlign w:val="superscript"/>
        </w:rPr>
        <w:t xml:space="preserve"> </w:t>
      </w:r>
      <w:r w:rsidRPr="00233A0E">
        <w:rPr>
          <w:rFonts w:asciiTheme="minorHAnsi" w:hAnsiTheme="minorHAnsi"/>
          <w:sz w:val="22"/>
          <w:szCs w:val="22"/>
        </w:rPr>
        <w:t>seasonal adjustment factors are used to convert the average annual daily traffic produced by the travel model to average summer-time daily traffic.  For the purpose of PM</w:t>
      </w:r>
      <w:r w:rsidRPr="000B4D69">
        <w:rPr>
          <w:rFonts w:asciiTheme="minorHAnsi" w:hAnsiTheme="minorHAnsi"/>
          <w:sz w:val="22"/>
          <w:szCs w:val="22"/>
          <w:vertAlign w:val="subscript"/>
        </w:rPr>
        <w:t>2.5</w:t>
      </w:r>
      <w:r w:rsidRPr="00233A0E">
        <w:rPr>
          <w:rFonts w:asciiTheme="minorHAnsi" w:hAnsiTheme="minorHAnsi"/>
          <w:sz w:val="22"/>
          <w:szCs w:val="22"/>
        </w:rPr>
        <w:t xml:space="preserve"> emissions modeling, no seasonal adjustment is necessary since the HPMS data in the GDOT 445 report reflects annual average travel conditions and a direct adjustment factor</w:t>
      </w:r>
      <w:r w:rsidR="000B4D69">
        <w:rPr>
          <w:rFonts w:asciiTheme="minorHAnsi" w:hAnsiTheme="minorHAnsi"/>
          <w:sz w:val="22"/>
          <w:szCs w:val="22"/>
        </w:rPr>
        <w:t xml:space="preserve"> between the model data and the HPMS data can be developed.</w:t>
      </w:r>
    </w:p>
    <w:p w:rsidR="00B626A2" w:rsidRDefault="00F32808" w:rsidP="00EC1DCD">
      <w:pPr>
        <w:pStyle w:val="Default"/>
        <w:spacing w:after="200" w:line="276" w:lineRule="auto"/>
        <w:jc w:val="both"/>
        <w:rPr>
          <w:rFonts w:asciiTheme="minorHAnsi" w:hAnsiTheme="minorHAnsi"/>
          <w:sz w:val="22"/>
          <w:szCs w:val="22"/>
        </w:rPr>
      </w:pPr>
      <w:r w:rsidRPr="00233A0E">
        <w:rPr>
          <w:rFonts w:asciiTheme="minorHAnsi" w:hAnsiTheme="minorHAnsi"/>
          <w:sz w:val="22"/>
          <w:szCs w:val="22"/>
        </w:rPr>
        <w:t>EPA requires</w:t>
      </w:r>
      <w:r w:rsidRPr="00233A0E">
        <w:rPr>
          <w:rStyle w:val="FootnoteReference"/>
          <w:rFonts w:asciiTheme="minorHAnsi" w:hAnsiTheme="minorHAnsi"/>
          <w:sz w:val="22"/>
          <w:szCs w:val="22"/>
        </w:rPr>
        <w:footnoteReference w:id="10"/>
      </w:r>
      <w:r w:rsidRPr="00233A0E">
        <w:rPr>
          <w:rFonts w:asciiTheme="minorHAnsi" w:hAnsiTheme="minorHAnsi"/>
          <w:sz w:val="22"/>
          <w:szCs w:val="22"/>
        </w:rPr>
        <w:t xml:space="preserve"> that reasonable methods be used to estimate VMT on off-network (off-model) roadways within the urban transportation planning area. Off-model VMT is travel that is accounted for within HPMS estimates, but not accounted for within the coded transportation network; it typically reflects travel on the local road system. EPA also recommends</w:t>
      </w:r>
      <w:r w:rsidRPr="00233A0E">
        <w:rPr>
          <w:rStyle w:val="FootnoteReference"/>
          <w:rFonts w:asciiTheme="minorHAnsi" w:hAnsiTheme="minorHAnsi"/>
          <w:sz w:val="22"/>
          <w:szCs w:val="22"/>
        </w:rPr>
        <w:footnoteReference w:id="11"/>
      </w:r>
      <w:r w:rsidRPr="00233A0E">
        <w:rPr>
          <w:rFonts w:asciiTheme="minorHAnsi" w:hAnsiTheme="minorHAnsi"/>
          <w:sz w:val="22"/>
          <w:szCs w:val="22"/>
        </w:rPr>
        <w:t xml:space="preserve"> for areas with travel demand models in place, that HPMS adjustments be made based on comparison of base year VMT from the transportation model to base year HPMS VMT estimates. The ARC calculates HPMS adjustment factors by comparing HPMS VMT to travel model VMT by HPMS functional classes for the 2000 calibration year. In the past, the adjustment factors were developed for the 12 functional classes which stratifies the facilities by urban versus rural designation.  To be consistent with the new </w:t>
      </w:r>
      <w:r w:rsidR="00EC1DCD">
        <w:rPr>
          <w:rFonts w:asciiTheme="minorHAnsi" w:hAnsiTheme="minorHAnsi"/>
          <w:sz w:val="22"/>
          <w:szCs w:val="22"/>
        </w:rPr>
        <w:t>USDOT</w:t>
      </w:r>
      <w:r w:rsidRPr="00233A0E">
        <w:rPr>
          <w:rFonts w:asciiTheme="minorHAnsi" w:hAnsiTheme="minorHAnsi"/>
          <w:sz w:val="22"/>
          <w:szCs w:val="22"/>
        </w:rPr>
        <w:t xml:space="preserve"> policy which eliminated the urban/rural stratification in the function</w:t>
      </w:r>
      <w:r w:rsidR="00B626A2">
        <w:rPr>
          <w:rFonts w:asciiTheme="minorHAnsi" w:hAnsiTheme="minorHAnsi"/>
          <w:sz w:val="22"/>
          <w:szCs w:val="22"/>
        </w:rPr>
        <w:t>al</w:t>
      </w:r>
      <w:r w:rsidRPr="00233A0E">
        <w:rPr>
          <w:rFonts w:asciiTheme="minorHAnsi" w:hAnsiTheme="minorHAnsi"/>
          <w:sz w:val="22"/>
          <w:szCs w:val="22"/>
        </w:rPr>
        <w:t xml:space="preserve"> classification designations beginning with 2009 data reported in 2010</w:t>
      </w:r>
      <w:r w:rsidR="00820EC9">
        <w:rPr>
          <w:rFonts w:asciiTheme="minorHAnsi" w:hAnsiTheme="minorHAnsi"/>
          <w:sz w:val="22"/>
          <w:szCs w:val="22"/>
        </w:rPr>
        <w:t>,</w:t>
      </w:r>
      <w:r w:rsidR="00B626A2">
        <w:rPr>
          <w:rStyle w:val="FootnoteReference"/>
          <w:sz w:val="22"/>
          <w:szCs w:val="22"/>
        </w:rPr>
        <w:footnoteReference w:id="12"/>
      </w:r>
      <w:r w:rsidRPr="00233A0E">
        <w:rPr>
          <w:rFonts w:asciiTheme="minorHAnsi" w:hAnsiTheme="minorHAnsi"/>
          <w:sz w:val="22"/>
          <w:szCs w:val="22"/>
        </w:rPr>
        <w:t xml:space="preserve"> the aggregate functional classification level was used.  The resulting factors are then applied to travel </w:t>
      </w:r>
      <w:r w:rsidRPr="00233A0E">
        <w:rPr>
          <w:rFonts w:asciiTheme="minorHAnsi" w:hAnsiTheme="minorHAnsi"/>
          <w:sz w:val="22"/>
          <w:szCs w:val="22"/>
        </w:rPr>
        <w:lastRenderedPageBreak/>
        <w:t xml:space="preserve">model VMT estimates for future analysis years. The following equation was used to calculate the HPMS adjustment factors: </w:t>
      </w:r>
    </w:p>
    <w:p w:rsidR="00B626A2" w:rsidRPr="00B626A2" w:rsidRDefault="00F32808" w:rsidP="00C1075C">
      <w:pPr>
        <w:pStyle w:val="CM63"/>
        <w:spacing w:after="200" w:line="23" w:lineRule="atLeast"/>
        <w:ind w:firstLine="720"/>
        <w:jc w:val="both"/>
        <w:rPr>
          <w:rFonts w:asciiTheme="minorHAnsi" w:hAnsiTheme="minorHAnsi"/>
          <w:position w:val="-10"/>
          <w:sz w:val="22"/>
          <w:szCs w:val="22"/>
        </w:rPr>
      </w:pPr>
      <w:r w:rsidRPr="00233A0E">
        <w:rPr>
          <w:rFonts w:asciiTheme="minorHAnsi" w:hAnsiTheme="minorHAnsi"/>
          <w:sz w:val="22"/>
          <w:szCs w:val="22"/>
        </w:rPr>
        <w:t xml:space="preserve">HPMS Adjustment </w:t>
      </w:r>
      <w:proofErr w:type="spellStart"/>
      <w:r w:rsidRPr="00233A0E">
        <w:rPr>
          <w:rFonts w:asciiTheme="minorHAnsi" w:hAnsiTheme="minorHAnsi"/>
          <w:sz w:val="22"/>
          <w:szCs w:val="22"/>
        </w:rPr>
        <w:t>Factor</w:t>
      </w:r>
      <w:r w:rsidR="00B626A2">
        <w:rPr>
          <w:rFonts w:asciiTheme="minorHAnsi" w:hAnsiTheme="minorHAnsi"/>
          <w:sz w:val="22"/>
          <w:szCs w:val="22"/>
          <w:vertAlign w:val="subscript"/>
        </w:rPr>
        <w:t>i</w:t>
      </w:r>
      <w:proofErr w:type="spellEnd"/>
      <w:r w:rsidRPr="00233A0E">
        <w:rPr>
          <w:rFonts w:asciiTheme="minorHAnsi" w:hAnsiTheme="minorHAnsi"/>
          <w:position w:val="-10"/>
          <w:sz w:val="22"/>
          <w:szCs w:val="22"/>
          <w:vertAlign w:val="subscript"/>
        </w:rPr>
        <w:t xml:space="preserve"> </w:t>
      </w:r>
      <w:r w:rsidRPr="00233A0E">
        <w:rPr>
          <w:rFonts w:asciiTheme="minorHAnsi" w:hAnsiTheme="minorHAnsi"/>
          <w:sz w:val="22"/>
          <w:szCs w:val="22"/>
        </w:rPr>
        <w:t xml:space="preserve">= 2000 HPMS </w:t>
      </w:r>
      <w:proofErr w:type="spellStart"/>
      <w:r w:rsidRPr="00233A0E">
        <w:rPr>
          <w:rFonts w:asciiTheme="minorHAnsi" w:hAnsiTheme="minorHAnsi"/>
          <w:sz w:val="22"/>
          <w:szCs w:val="22"/>
        </w:rPr>
        <w:t>VMT</w:t>
      </w:r>
      <w:r w:rsidR="00B626A2">
        <w:rPr>
          <w:rFonts w:asciiTheme="minorHAnsi" w:hAnsiTheme="minorHAnsi"/>
          <w:sz w:val="22"/>
          <w:szCs w:val="22"/>
          <w:vertAlign w:val="subscript"/>
        </w:rPr>
        <w:t>i</w:t>
      </w:r>
      <w:proofErr w:type="spellEnd"/>
      <w:r w:rsidRPr="00233A0E">
        <w:rPr>
          <w:rFonts w:asciiTheme="minorHAnsi" w:hAnsiTheme="minorHAnsi"/>
          <w:position w:val="-10"/>
          <w:sz w:val="22"/>
          <w:szCs w:val="22"/>
          <w:vertAlign w:val="subscript"/>
        </w:rPr>
        <w:t xml:space="preserve"> </w:t>
      </w:r>
      <w:r w:rsidRPr="00233A0E">
        <w:rPr>
          <w:rFonts w:asciiTheme="minorHAnsi" w:hAnsiTheme="minorHAnsi"/>
          <w:sz w:val="22"/>
          <w:szCs w:val="22"/>
        </w:rPr>
        <w:t xml:space="preserve">/ 2000 MODEL </w:t>
      </w:r>
      <w:proofErr w:type="spellStart"/>
      <w:r w:rsidRPr="00233A0E">
        <w:rPr>
          <w:rFonts w:asciiTheme="minorHAnsi" w:hAnsiTheme="minorHAnsi"/>
          <w:sz w:val="22"/>
          <w:szCs w:val="22"/>
        </w:rPr>
        <w:t>VMT</w:t>
      </w:r>
      <w:r w:rsidR="00B626A2">
        <w:rPr>
          <w:rFonts w:asciiTheme="minorHAnsi" w:hAnsiTheme="minorHAnsi"/>
          <w:sz w:val="22"/>
          <w:szCs w:val="22"/>
          <w:vertAlign w:val="subscript"/>
        </w:rPr>
        <w:t>i</w:t>
      </w:r>
      <w:proofErr w:type="spellEnd"/>
    </w:p>
    <w:p w:rsidR="00F32808" w:rsidRPr="00233A0E" w:rsidRDefault="00B626A2" w:rsidP="00C1075C">
      <w:pPr>
        <w:pStyle w:val="CM63"/>
        <w:spacing w:line="23" w:lineRule="atLeast"/>
        <w:ind w:firstLine="720"/>
        <w:jc w:val="both"/>
        <w:rPr>
          <w:rFonts w:asciiTheme="minorHAnsi" w:hAnsiTheme="minorHAnsi"/>
          <w:sz w:val="22"/>
          <w:szCs w:val="22"/>
        </w:rPr>
      </w:pPr>
      <w:r w:rsidRPr="00233A0E">
        <w:rPr>
          <w:rFonts w:asciiTheme="minorHAnsi" w:hAnsiTheme="minorHAnsi"/>
          <w:sz w:val="22"/>
          <w:szCs w:val="22"/>
        </w:rPr>
        <w:t>Where</w:t>
      </w:r>
      <w:r w:rsidR="00F32808" w:rsidRPr="00233A0E">
        <w:rPr>
          <w:rFonts w:asciiTheme="minorHAnsi" w:hAnsiTheme="minorHAnsi"/>
          <w:sz w:val="22"/>
          <w:szCs w:val="22"/>
        </w:rPr>
        <w:t xml:space="preserve"> </w:t>
      </w:r>
      <w:proofErr w:type="spellStart"/>
      <w:r w:rsidR="00F32808">
        <w:rPr>
          <w:rFonts w:asciiTheme="minorHAnsi" w:hAnsiTheme="minorHAnsi"/>
          <w:sz w:val="22"/>
          <w:szCs w:val="22"/>
        </w:rPr>
        <w:t>i</w:t>
      </w:r>
      <w:proofErr w:type="spellEnd"/>
      <w:r w:rsidR="00F32808">
        <w:rPr>
          <w:rFonts w:asciiTheme="minorHAnsi" w:hAnsiTheme="minorHAnsi"/>
          <w:sz w:val="22"/>
          <w:szCs w:val="22"/>
        </w:rPr>
        <w:t xml:space="preserve"> </w:t>
      </w:r>
      <w:r w:rsidR="00F32808" w:rsidRPr="00233A0E">
        <w:rPr>
          <w:rFonts w:asciiTheme="minorHAnsi" w:hAnsiTheme="minorHAnsi"/>
          <w:sz w:val="22"/>
          <w:szCs w:val="22"/>
        </w:rPr>
        <w:t>=</w:t>
      </w:r>
      <w:r w:rsidR="00F32808">
        <w:rPr>
          <w:rFonts w:asciiTheme="minorHAnsi" w:hAnsiTheme="minorHAnsi"/>
          <w:sz w:val="22"/>
          <w:szCs w:val="22"/>
        </w:rPr>
        <w:t xml:space="preserve"> </w:t>
      </w:r>
      <w:r>
        <w:rPr>
          <w:rFonts w:asciiTheme="minorHAnsi" w:hAnsiTheme="minorHAnsi"/>
          <w:sz w:val="22"/>
          <w:szCs w:val="22"/>
        </w:rPr>
        <w:t>HPMS functional class</w:t>
      </w:r>
    </w:p>
    <w:p w:rsidR="00F32808" w:rsidRPr="00233A0E" w:rsidRDefault="00F32808" w:rsidP="00F32808">
      <w:pPr>
        <w:pStyle w:val="Default"/>
        <w:spacing w:line="276" w:lineRule="auto"/>
        <w:jc w:val="both"/>
        <w:rPr>
          <w:rFonts w:asciiTheme="minorHAnsi" w:hAnsiTheme="minorHAnsi"/>
          <w:color w:val="auto"/>
          <w:sz w:val="22"/>
          <w:szCs w:val="22"/>
        </w:rPr>
      </w:pPr>
      <w:r w:rsidRPr="00233A0E">
        <w:rPr>
          <w:rFonts w:asciiTheme="minorHAnsi" w:hAnsiTheme="minorHAnsi"/>
          <w:color w:val="auto"/>
          <w:sz w:val="22"/>
          <w:szCs w:val="22"/>
        </w:rPr>
        <w:t xml:space="preserve">To determine the 2000 HPMS VMT, average daily VMT for the year 2000 were summarized by the aggregate HPMS functional classes for the 13 </w:t>
      </w:r>
      <w:r w:rsidR="00EC1DCD">
        <w:rPr>
          <w:rFonts w:asciiTheme="minorHAnsi" w:hAnsiTheme="minorHAnsi"/>
          <w:color w:val="auto"/>
          <w:sz w:val="22"/>
          <w:szCs w:val="22"/>
        </w:rPr>
        <w:t>and 7-county areas separately</w:t>
      </w:r>
      <w:r w:rsidRPr="00233A0E">
        <w:rPr>
          <w:rFonts w:asciiTheme="minorHAnsi" w:hAnsiTheme="minorHAnsi"/>
          <w:color w:val="auto"/>
          <w:sz w:val="22"/>
          <w:szCs w:val="22"/>
        </w:rPr>
        <w:t>. County-level HPMS data by functional class was taken from the</w:t>
      </w:r>
      <w:r w:rsidR="00EC1DCD">
        <w:rPr>
          <w:rFonts w:asciiTheme="minorHAnsi" w:hAnsiTheme="minorHAnsi"/>
          <w:color w:val="auto"/>
          <w:sz w:val="22"/>
          <w:szCs w:val="22"/>
        </w:rPr>
        <w:t xml:space="preserve"> GDOT</w:t>
      </w:r>
      <w:r w:rsidRPr="00233A0E">
        <w:rPr>
          <w:rFonts w:asciiTheme="minorHAnsi" w:hAnsiTheme="minorHAnsi"/>
          <w:color w:val="auto"/>
          <w:sz w:val="22"/>
          <w:szCs w:val="22"/>
        </w:rPr>
        <w:t xml:space="preserve"> Office of Transportation Data 445 Report. </w:t>
      </w:r>
      <w:r w:rsidR="00B626A2">
        <w:rPr>
          <w:rFonts w:asciiTheme="minorHAnsi" w:hAnsiTheme="minorHAnsi"/>
          <w:color w:val="auto"/>
          <w:sz w:val="22"/>
          <w:szCs w:val="22"/>
        </w:rPr>
        <w:t xml:space="preserve"> </w:t>
      </w:r>
      <w:r w:rsidR="00EC1DCD">
        <w:rPr>
          <w:rFonts w:asciiTheme="minorHAnsi" w:hAnsiTheme="minorHAnsi"/>
          <w:color w:val="auto"/>
          <w:sz w:val="22"/>
          <w:szCs w:val="22"/>
        </w:rPr>
        <w:t>GDOT’s</w:t>
      </w:r>
      <w:r w:rsidRPr="00233A0E">
        <w:rPr>
          <w:rFonts w:asciiTheme="minorHAnsi" w:hAnsiTheme="minorHAnsi"/>
          <w:color w:val="auto"/>
          <w:sz w:val="22"/>
          <w:szCs w:val="22"/>
        </w:rPr>
        <w:t xml:space="preserve"> 445 Report provides information on mileage and VMT by route type and road system and contains county-specific State Route, County Road and City Street mileage and VMT broken down by functional classification. VMT by county and functional class were aggregated to total VMT by HPMS functional class. 2000 Travel Demand Mo</w:t>
      </w:r>
      <w:r w:rsidR="00B626A2">
        <w:rPr>
          <w:rFonts w:asciiTheme="minorHAnsi" w:hAnsiTheme="minorHAnsi"/>
          <w:color w:val="auto"/>
          <w:sz w:val="22"/>
          <w:szCs w:val="22"/>
        </w:rPr>
        <w:t>del VMT</w:t>
      </w:r>
      <w:r w:rsidRPr="00233A0E">
        <w:rPr>
          <w:rFonts w:asciiTheme="minorHAnsi" w:hAnsiTheme="minorHAnsi"/>
          <w:color w:val="auto"/>
          <w:sz w:val="22"/>
          <w:szCs w:val="22"/>
        </w:rPr>
        <w:t xml:space="preserve"> at the HPMS functional class level was derived from the recalibrated 2000 travel model network. HPMS adjustment fa</w:t>
      </w:r>
      <w:r w:rsidR="00EC1DCD">
        <w:rPr>
          <w:rFonts w:asciiTheme="minorHAnsi" w:hAnsiTheme="minorHAnsi"/>
          <w:color w:val="auto"/>
          <w:sz w:val="22"/>
          <w:szCs w:val="22"/>
        </w:rPr>
        <w:t>ctors for the 13- and 7-</w:t>
      </w:r>
      <w:r w:rsidRPr="00233A0E">
        <w:rPr>
          <w:rFonts w:asciiTheme="minorHAnsi" w:hAnsiTheme="minorHAnsi"/>
          <w:color w:val="auto"/>
          <w:sz w:val="22"/>
          <w:szCs w:val="22"/>
        </w:rPr>
        <w:t>county areas are listed below which are used for PM</w:t>
      </w:r>
      <w:r w:rsidRPr="003C66C6">
        <w:rPr>
          <w:rFonts w:asciiTheme="minorHAnsi" w:hAnsiTheme="minorHAnsi"/>
          <w:color w:val="auto"/>
          <w:sz w:val="22"/>
          <w:szCs w:val="22"/>
          <w:vertAlign w:val="subscript"/>
        </w:rPr>
        <w:t xml:space="preserve">2.5 </w:t>
      </w:r>
      <w:r w:rsidRPr="00233A0E">
        <w:rPr>
          <w:rFonts w:asciiTheme="minorHAnsi" w:hAnsiTheme="minorHAnsi"/>
          <w:color w:val="auto"/>
          <w:sz w:val="22"/>
          <w:szCs w:val="22"/>
        </w:rPr>
        <w:t xml:space="preserve">emission modeling. </w:t>
      </w:r>
    </w:p>
    <w:p w:rsidR="00F32808" w:rsidRDefault="00F32808" w:rsidP="00F32808">
      <w:pPr>
        <w:pStyle w:val="Default"/>
        <w:rPr>
          <w:color w:val="auto"/>
          <w:sz w:val="23"/>
          <w:szCs w:val="23"/>
        </w:rPr>
      </w:pPr>
    </w:p>
    <w:p w:rsidR="00F32808" w:rsidRPr="00820EC9" w:rsidRDefault="00F32808" w:rsidP="00820EC9">
      <w:pPr>
        <w:jc w:val="center"/>
        <w:rPr>
          <w:b/>
          <w:sz w:val="24"/>
          <w:szCs w:val="24"/>
        </w:rPr>
      </w:pPr>
      <w:r w:rsidRPr="00820EC9">
        <w:rPr>
          <w:b/>
          <w:sz w:val="24"/>
          <w:szCs w:val="24"/>
        </w:rPr>
        <w:t xml:space="preserve">Table </w:t>
      </w:r>
      <w:r w:rsidR="00820EC9">
        <w:rPr>
          <w:b/>
          <w:sz w:val="24"/>
          <w:szCs w:val="24"/>
        </w:rPr>
        <w:t>3</w:t>
      </w:r>
      <w:r w:rsidRPr="00820EC9">
        <w:rPr>
          <w:b/>
          <w:sz w:val="24"/>
          <w:szCs w:val="24"/>
        </w:rPr>
        <w:t xml:space="preserve"> – 13-County</w:t>
      </w:r>
      <w:r w:rsidR="00EC1DCD">
        <w:rPr>
          <w:b/>
          <w:sz w:val="24"/>
          <w:szCs w:val="24"/>
        </w:rPr>
        <w:t xml:space="preserve"> PM</w:t>
      </w:r>
      <w:r w:rsidR="00EC1DCD">
        <w:rPr>
          <w:b/>
          <w:sz w:val="24"/>
          <w:szCs w:val="24"/>
          <w:vertAlign w:val="subscript"/>
        </w:rPr>
        <w:t>2.5</w:t>
      </w:r>
      <w:r w:rsidRPr="00820EC9">
        <w:rPr>
          <w:b/>
          <w:sz w:val="24"/>
          <w:szCs w:val="24"/>
        </w:rPr>
        <w:t xml:space="preserve"> HPMS Adjustment Factors</w:t>
      </w:r>
    </w:p>
    <w:tbl>
      <w:tblPr>
        <w:tblStyle w:val="MediumShading2-Accent11"/>
        <w:tblW w:w="0" w:type="auto"/>
        <w:jc w:val="center"/>
        <w:tblLook w:val="0420"/>
      </w:tblPr>
      <w:tblGrid>
        <w:gridCol w:w="2272"/>
        <w:gridCol w:w="2051"/>
        <w:gridCol w:w="1330"/>
        <w:gridCol w:w="1330"/>
        <w:gridCol w:w="2373"/>
      </w:tblGrid>
      <w:tr w:rsidR="00F32808" w:rsidRPr="00AD5DCC" w:rsidTr="00AD5DCC">
        <w:trPr>
          <w:cnfStyle w:val="100000000000"/>
          <w:trHeight w:val="157"/>
          <w:jc w:val="center"/>
        </w:trPr>
        <w:tc>
          <w:tcPr>
            <w:tcW w:w="0" w:type="auto"/>
            <w:vAlign w:val="center"/>
          </w:tcPr>
          <w:p w:rsidR="00F32808" w:rsidRPr="00AD5DCC" w:rsidRDefault="00F32808" w:rsidP="00AD5DCC">
            <w:pPr>
              <w:pStyle w:val="Default"/>
              <w:jc w:val="center"/>
              <w:rPr>
                <w:rFonts w:asciiTheme="minorHAnsi" w:hAnsiTheme="minorHAnsi"/>
                <w:b w:val="0"/>
                <w:color w:val="FFFFFF" w:themeColor="background1"/>
                <w:sz w:val="22"/>
                <w:szCs w:val="22"/>
              </w:rPr>
            </w:pPr>
            <w:r w:rsidRPr="00AD5DCC">
              <w:rPr>
                <w:rFonts w:asciiTheme="minorHAnsi" w:hAnsiTheme="minorHAnsi"/>
                <w:color w:val="FFFFFF" w:themeColor="background1"/>
                <w:sz w:val="22"/>
                <w:szCs w:val="22"/>
              </w:rPr>
              <w:t>Functional Class Name</w:t>
            </w:r>
          </w:p>
        </w:tc>
        <w:tc>
          <w:tcPr>
            <w:tcW w:w="0" w:type="auto"/>
            <w:vAlign w:val="center"/>
          </w:tcPr>
          <w:p w:rsidR="00F32808" w:rsidRPr="00AD5DCC" w:rsidRDefault="00F32808" w:rsidP="00AD5DCC">
            <w:pPr>
              <w:pStyle w:val="Default"/>
              <w:jc w:val="center"/>
              <w:rPr>
                <w:rFonts w:asciiTheme="minorHAnsi" w:hAnsiTheme="minorHAnsi"/>
                <w:b w:val="0"/>
                <w:color w:val="FFFFFF" w:themeColor="background1"/>
                <w:sz w:val="22"/>
                <w:szCs w:val="22"/>
              </w:rPr>
            </w:pPr>
            <w:r w:rsidRPr="00AD5DCC">
              <w:rPr>
                <w:rFonts w:asciiTheme="minorHAnsi" w:hAnsiTheme="minorHAnsi"/>
                <w:color w:val="FFFFFF" w:themeColor="background1"/>
                <w:sz w:val="22"/>
                <w:szCs w:val="22"/>
              </w:rPr>
              <w:t>Functional Class No.</w:t>
            </w:r>
          </w:p>
        </w:tc>
        <w:tc>
          <w:tcPr>
            <w:tcW w:w="0" w:type="auto"/>
            <w:vAlign w:val="center"/>
          </w:tcPr>
          <w:p w:rsidR="00F32808" w:rsidRPr="00AD5DCC" w:rsidRDefault="00F32808" w:rsidP="00AD5DCC">
            <w:pPr>
              <w:pStyle w:val="Default"/>
              <w:jc w:val="center"/>
              <w:rPr>
                <w:rFonts w:asciiTheme="minorHAnsi" w:hAnsiTheme="minorHAnsi"/>
                <w:b w:val="0"/>
                <w:color w:val="FFFFFF" w:themeColor="background1"/>
                <w:sz w:val="22"/>
                <w:szCs w:val="22"/>
              </w:rPr>
            </w:pPr>
            <w:r w:rsidRPr="00AD5DCC">
              <w:rPr>
                <w:rFonts w:asciiTheme="minorHAnsi" w:hAnsiTheme="minorHAnsi"/>
                <w:color w:val="FFFFFF" w:themeColor="background1"/>
                <w:sz w:val="22"/>
                <w:szCs w:val="22"/>
              </w:rPr>
              <w:t>HPMS Data</w:t>
            </w:r>
          </w:p>
        </w:tc>
        <w:tc>
          <w:tcPr>
            <w:tcW w:w="0" w:type="auto"/>
            <w:vAlign w:val="center"/>
          </w:tcPr>
          <w:p w:rsidR="00F32808" w:rsidRPr="00AD5DCC" w:rsidRDefault="00F32808" w:rsidP="00AD5DCC">
            <w:pPr>
              <w:pStyle w:val="Default"/>
              <w:jc w:val="center"/>
              <w:rPr>
                <w:rFonts w:asciiTheme="minorHAnsi" w:hAnsiTheme="minorHAnsi"/>
                <w:b w:val="0"/>
                <w:color w:val="FFFFFF" w:themeColor="background1"/>
                <w:sz w:val="22"/>
                <w:szCs w:val="22"/>
              </w:rPr>
            </w:pPr>
            <w:r w:rsidRPr="00AD5DCC">
              <w:rPr>
                <w:rFonts w:asciiTheme="minorHAnsi" w:hAnsiTheme="minorHAnsi"/>
                <w:color w:val="FFFFFF" w:themeColor="background1"/>
                <w:sz w:val="22"/>
                <w:szCs w:val="22"/>
              </w:rPr>
              <w:t>Model Data</w:t>
            </w:r>
          </w:p>
        </w:tc>
        <w:tc>
          <w:tcPr>
            <w:tcW w:w="0" w:type="auto"/>
            <w:vAlign w:val="center"/>
          </w:tcPr>
          <w:p w:rsidR="00F32808" w:rsidRPr="00AD5DCC" w:rsidRDefault="00F32808" w:rsidP="00AD5DCC">
            <w:pPr>
              <w:pStyle w:val="Default"/>
              <w:jc w:val="center"/>
              <w:rPr>
                <w:rFonts w:asciiTheme="minorHAnsi" w:hAnsiTheme="minorHAnsi"/>
                <w:b w:val="0"/>
                <w:color w:val="FFFFFF" w:themeColor="background1"/>
                <w:sz w:val="22"/>
                <w:szCs w:val="22"/>
              </w:rPr>
            </w:pPr>
            <w:r w:rsidRPr="00AD5DCC">
              <w:rPr>
                <w:rFonts w:asciiTheme="minorHAnsi" w:hAnsiTheme="minorHAnsi"/>
                <w:color w:val="FFFFFF" w:themeColor="background1"/>
                <w:sz w:val="22"/>
                <w:szCs w:val="22"/>
              </w:rPr>
              <w:t>VMT HPMS Adjustment</w:t>
            </w:r>
          </w:p>
        </w:tc>
      </w:tr>
      <w:tr w:rsidR="00F32808" w:rsidRPr="004D75C5" w:rsidTr="00AD5DCC">
        <w:trPr>
          <w:cnfStyle w:val="000000100000"/>
          <w:trHeight w:val="157"/>
          <w:jc w:val="center"/>
        </w:trPr>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Interstates/</w:t>
            </w:r>
            <w:proofErr w:type="spellStart"/>
            <w:r w:rsidRPr="00233A0E">
              <w:rPr>
                <w:rFonts w:asciiTheme="minorHAnsi" w:hAnsiTheme="minorHAnsi"/>
                <w:sz w:val="22"/>
                <w:szCs w:val="22"/>
              </w:rPr>
              <w:t>Frwy</w:t>
            </w:r>
            <w:proofErr w:type="spellEnd"/>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1,11,12</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47,171,325</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46,049,179</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1.02</w:t>
            </w:r>
          </w:p>
        </w:tc>
      </w:tr>
      <w:tr w:rsidR="00F32808" w:rsidRPr="004D75C5" w:rsidTr="00AD5DCC">
        <w:trPr>
          <w:trHeight w:val="157"/>
          <w:jc w:val="center"/>
        </w:trPr>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Arterials</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2,6,14,16</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39,900,297</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40,382,825</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0.99</w:t>
            </w:r>
          </w:p>
        </w:tc>
      </w:tr>
      <w:tr w:rsidR="00F32808" w:rsidRPr="004D75C5" w:rsidTr="00AD5DCC">
        <w:trPr>
          <w:cnfStyle w:val="000000100000"/>
          <w:trHeight w:val="157"/>
          <w:jc w:val="center"/>
        </w:trPr>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Collectors</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7,8,17</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12,242,686</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11,240,938</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1.09</w:t>
            </w:r>
          </w:p>
        </w:tc>
      </w:tr>
      <w:tr w:rsidR="00F32808" w:rsidRPr="004D75C5" w:rsidTr="00AD5DCC">
        <w:trPr>
          <w:trHeight w:val="157"/>
          <w:jc w:val="center"/>
        </w:trPr>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Local</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9,19</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18,734,189</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21,040,927</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0.89</w:t>
            </w:r>
          </w:p>
        </w:tc>
      </w:tr>
      <w:tr w:rsidR="00F32808" w:rsidRPr="004D75C5" w:rsidTr="00AD5DCC">
        <w:trPr>
          <w:cnfStyle w:val="000000100000"/>
          <w:trHeight w:val="157"/>
          <w:jc w:val="center"/>
        </w:trPr>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Total</w:t>
            </w:r>
          </w:p>
        </w:tc>
        <w:tc>
          <w:tcPr>
            <w:tcW w:w="0" w:type="auto"/>
            <w:vAlign w:val="center"/>
          </w:tcPr>
          <w:p w:rsidR="00F32808" w:rsidRPr="00233A0E" w:rsidRDefault="00F32808" w:rsidP="00AD5DCC">
            <w:pPr>
              <w:pStyle w:val="Default"/>
              <w:jc w:val="center"/>
              <w:rPr>
                <w:rFonts w:asciiTheme="minorHAnsi" w:hAnsiTheme="minorHAnsi"/>
                <w:sz w:val="22"/>
                <w:szCs w:val="22"/>
              </w:rPr>
            </w:pP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118,048,497</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118,713,869</w:t>
            </w:r>
          </w:p>
        </w:tc>
        <w:tc>
          <w:tcPr>
            <w:tcW w:w="0" w:type="auto"/>
            <w:vAlign w:val="center"/>
          </w:tcPr>
          <w:p w:rsidR="00F32808" w:rsidRPr="00233A0E" w:rsidRDefault="00F32808" w:rsidP="00AD5DCC">
            <w:pPr>
              <w:pStyle w:val="Default"/>
              <w:jc w:val="center"/>
              <w:rPr>
                <w:rFonts w:asciiTheme="minorHAnsi" w:hAnsiTheme="minorHAnsi"/>
                <w:sz w:val="22"/>
                <w:szCs w:val="22"/>
              </w:rPr>
            </w:pPr>
            <w:r w:rsidRPr="00233A0E">
              <w:rPr>
                <w:rFonts w:asciiTheme="minorHAnsi" w:hAnsiTheme="minorHAnsi"/>
                <w:sz w:val="22"/>
                <w:szCs w:val="22"/>
              </w:rPr>
              <w:t>0.99</w:t>
            </w:r>
          </w:p>
        </w:tc>
      </w:tr>
    </w:tbl>
    <w:p w:rsidR="00F32808" w:rsidRDefault="00F32808" w:rsidP="00F32808"/>
    <w:p w:rsidR="00F32808" w:rsidRPr="00820EC9" w:rsidRDefault="00F32808" w:rsidP="00820EC9">
      <w:pPr>
        <w:jc w:val="center"/>
        <w:rPr>
          <w:b/>
          <w:sz w:val="24"/>
          <w:szCs w:val="24"/>
        </w:rPr>
      </w:pPr>
      <w:r w:rsidRPr="00820EC9">
        <w:rPr>
          <w:b/>
          <w:sz w:val="24"/>
          <w:szCs w:val="24"/>
        </w:rPr>
        <w:t xml:space="preserve">Table </w:t>
      </w:r>
      <w:r w:rsidR="00820EC9">
        <w:rPr>
          <w:b/>
          <w:sz w:val="24"/>
          <w:szCs w:val="24"/>
        </w:rPr>
        <w:t>4</w:t>
      </w:r>
      <w:r w:rsidRPr="00820EC9">
        <w:rPr>
          <w:b/>
          <w:sz w:val="24"/>
          <w:szCs w:val="24"/>
        </w:rPr>
        <w:t xml:space="preserve"> – 7-County</w:t>
      </w:r>
      <w:r w:rsidR="00EC1DCD">
        <w:rPr>
          <w:b/>
          <w:sz w:val="24"/>
          <w:szCs w:val="24"/>
        </w:rPr>
        <w:t xml:space="preserve"> PM</w:t>
      </w:r>
      <w:r w:rsidR="00EC1DCD">
        <w:rPr>
          <w:b/>
          <w:sz w:val="24"/>
          <w:szCs w:val="24"/>
          <w:vertAlign w:val="subscript"/>
        </w:rPr>
        <w:t>2.5</w:t>
      </w:r>
      <w:r w:rsidRPr="00820EC9">
        <w:rPr>
          <w:b/>
          <w:sz w:val="24"/>
          <w:szCs w:val="24"/>
        </w:rPr>
        <w:t xml:space="preserve"> HPMS Adjustment Factors</w:t>
      </w:r>
    </w:p>
    <w:tbl>
      <w:tblPr>
        <w:tblStyle w:val="MediumShading2-Accent11"/>
        <w:tblW w:w="0" w:type="auto"/>
        <w:jc w:val="center"/>
        <w:tblLook w:val="0420"/>
      </w:tblPr>
      <w:tblGrid>
        <w:gridCol w:w="2272"/>
        <w:gridCol w:w="2051"/>
        <w:gridCol w:w="1251"/>
        <w:gridCol w:w="1292"/>
        <w:gridCol w:w="2373"/>
      </w:tblGrid>
      <w:tr w:rsidR="00F32808" w:rsidRPr="00AD5DCC" w:rsidTr="00AD5DCC">
        <w:trPr>
          <w:cnfStyle w:val="100000000000"/>
          <w:trHeight w:val="158"/>
          <w:jc w:val="center"/>
        </w:trPr>
        <w:tc>
          <w:tcPr>
            <w:tcW w:w="0" w:type="auto"/>
            <w:vAlign w:val="center"/>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Functional Class Name</w:t>
            </w:r>
          </w:p>
        </w:tc>
        <w:tc>
          <w:tcPr>
            <w:tcW w:w="0" w:type="auto"/>
            <w:vAlign w:val="center"/>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Functional Class No.</w:t>
            </w:r>
          </w:p>
        </w:tc>
        <w:tc>
          <w:tcPr>
            <w:tcW w:w="0" w:type="auto"/>
            <w:vAlign w:val="center"/>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HPMS Data</w:t>
            </w:r>
          </w:p>
        </w:tc>
        <w:tc>
          <w:tcPr>
            <w:tcW w:w="0" w:type="auto"/>
            <w:vAlign w:val="center"/>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Model Data</w:t>
            </w:r>
          </w:p>
        </w:tc>
        <w:tc>
          <w:tcPr>
            <w:tcW w:w="0" w:type="auto"/>
            <w:vAlign w:val="center"/>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VMT HPMS Adjustment</w:t>
            </w:r>
          </w:p>
        </w:tc>
      </w:tr>
      <w:tr w:rsidR="00F32808" w:rsidRPr="00A92B37" w:rsidTr="00AD5DCC">
        <w:trPr>
          <w:cnfStyle w:val="000000100000"/>
          <w:trHeight w:val="250"/>
          <w:jc w:val="center"/>
        </w:trPr>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Interstates/</w:t>
            </w:r>
            <w:proofErr w:type="spellStart"/>
            <w:r w:rsidRPr="00233A0E">
              <w:rPr>
                <w:rFonts w:eastAsia="Times New Roman" w:cs="Times New Roman"/>
                <w:color w:val="000000"/>
              </w:rPr>
              <w:t>Frwy</w:t>
            </w:r>
            <w:proofErr w:type="spellEnd"/>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1,11,12</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4,482,987</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5,247,292</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0.85</w:t>
            </w:r>
          </w:p>
        </w:tc>
      </w:tr>
      <w:tr w:rsidR="00F32808" w:rsidRPr="00A92B37" w:rsidTr="00AD5DCC">
        <w:trPr>
          <w:trHeight w:val="232"/>
          <w:jc w:val="center"/>
        </w:trPr>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Arterials</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2,6,14,16</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7,776,636</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8,016,746</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0.97</w:t>
            </w:r>
          </w:p>
        </w:tc>
      </w:tr>
      <w:tr w:rsidR="00F32808" w:rsidRPr="00A92B37" w:rsidTr="00AD5DCC">
        <w:trPr>
          <w:cnfStyle w:val="000000100000"/>
          <w:trHeight w:val="223"/>
          <w:jc w:val="center"/>
        </w:trPr>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Collectors</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7,8,17</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3,517,297</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1,955,582</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1.80</w:t>
            </w:r>
          </w:p>
        </w:tc>
      </w:tr>
      <w:tr w:rsidR="00F32808" w:rsidRPr="00A92B37" w:rsidTr="00AD5DCC">
        <w:trPr>
          <w:trHeight w:val="295"/>
          <w:jc w:val="center"/>
        </w:trPr>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Local</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9,19</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3,133,469</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2,868,633</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1.09</w:t>
            </w:r>
          </w:p>
        </w:tc>
      </w:tr>
      <w:tr w:rsidR="00F32808" w:rsidRPr="00A92B37" w:rsidTr="00AD5DCC">
        <w:trPr>
          <w:cnfStyle w:val="000000100000"/>
          <w:trHeight w:val="330"/>
          <w:jc w:val="center"/>
        </w:trPr>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Total</w:t>
            </w:r>
          </w:p>
        </w:tc>
        <w:tc>
          <w:tcPr>
            <w:tcW w:w="0" w:type="auto"/>
            <w:vAlign w:val="center"/>
            <w:hideMark/>
          </w:tcPr>
          <w:p w:rsidR="00F32808" w:rsidRPr="00233A0E" w:rsidRDefault="00F32808" w:rsidP="00AD5DCC">
            <w:pPr>
              <w:jc w:val="center"/>
              <w:rPr>
                <w:rFonts w:eastAsia="Times New Roman" w:cs="Times New Roman"/>
                <w:color w:val="000000"/>
              </w:rPr>
            </w:pP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18,910,389</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18,088,253</w:t>
            </w:r>
          </w:p>
        </w:tc>
        <w:tc>
          <w:tcPr>
            <w:tcW w:w="0" w:type="auto"/>
            <w:vAlign w:val="center"/>
            <w:hideMark/>
          </w:tcPr>
          <w:p w:rsidR="00F32808" w:rsidRPr="00233A0E" w:rsidRDefault="00F32808" w:rsidP="00AD5DCC">
            <w:pPr>
              <w:jc w:val="center"/>
              <w:rPr>
                <w:rFonts w:eastAsia="Times New Roman" w:cs="Times New Roman"/>
                <w:color w:val="000000"/>
              </w:rPr>
            </w:pPr>
            <w:r w:rsidRPr="00233A0E">
              <w:rPr>
                <w:rFonts w:eastAsia="Times New Roman" w:cs="Times New Roman"/>
                <w:color w:val="000000"/>
              </w:rPr>
              <w:t>1.05</w:t>
            </w:r>
          </w:p>
        </w:tc>
      </w:tr>
    </w:tbl>
    <w:p w:rsidR="00F32808" w:rsidRDefault="00F32808" w:rsidP="00F32808">
      <w:pPr>
        <w:pStyle w:val="Default"/>
        <w:jc w:val="center"/>
        <w:rPr>
          <w:color w:val="auto"/>
          <w:sz w:val="28"/>
          <w:szCs w:val="28"/>
        </w:rPr>
      </w:pPr>
    </w:p>
    <w:p w:rsidR="00F32808" w:rsidRPr="003C66C6" w:rsidRDefault="00F32808" w:rsidP="003C66C6">
      <w:pPr>
        <w:pStyle w:val="Default"/>
        <w:spacing w:line="276" w:lineRule="auto"/>
        <w:jc w:val="both"/>
        <w:rPr>
          <w:rFonts w:asciiTheme="minorHAnsi" w:hAnsiTheme="minorHAnsi"/>
          <w:color w:val="auto"/>
          <w:sz w:val="22"/>
          <w:szCs w:val="22"/>
        </w:rPr>
      </w:pPr>
      <w:r w:rsidRPr="003C66C6">
        <w:rPr>
          <w:rFonts w:asciiTheme="minorHAnsi" w:hAnsiTheme="minorHAnsi"/>
          <w:color w:val="auto"/>
          <w:sz w:val="22"/>
          <w:szCs w:val="22"/>
        </w:rPr>
        <w:t>Summer (seasonal) adjustment factors are used to convert from average annual daily VMT to average summer-season daily VMT for the purposes of ozone precursor emissions modeling</w:t>
      </w:r>
      <w:r w:rsidR="00820EC9">
        <w:rPr>
          <w:rFonts w:asciiTheme="minorHAnsi" w:hAnsiTheme="minorHAnsi"/>
          <w:color w:val="auto"/>
          <w:sz w:val="22"/>
          <w:szCs w:val="22"/>
        </w:rPr>
        <w:t>.</w:t>
      </w:r>
      <w:r w:rsidRPr="003C66C6">
        <w:rPr>
          <w:rStyle w:val="FootnoteReference"/>
          <w:rFonts w:asciiTheme="minorHAnsi" w:hAnsiTheme="minorHAnsi"/>
          <w:color w:val="auto"/>
          <w:sz w:val="22"/>
          <w:szCs w:val="22"/>
        </w:rPr>
        <w:footnoteReference w:id="13"/>
      </w:r>
      <w:r w:rsidRPr="003C66C6">
        <w:rPr>
          <w:rFonts w:asciiTheme="minorHAnsi" w:hAnsiTheme="minorHAnsi"/>
          <w:color w:val="auto"/>
          <w:sz w:val="22"/>
          <w:szCs w:val="22"/>
        </w:rPr>
        <w:t xml:space="preserve"> Seasonal adjustment factors reflect the latest factors provided by the </w:t>
      </w:r>
      <w:r w:rsidR="00EC1DCD">
        <w:rPr>
          <w:rFonts w:asciiTheme="minorHAnsi" w:hAnsiTheme="minorHAnsi"/>
          <w:color w:val="auto"/>
          <w:sz w:val="22"/>
          <w:szCs w:val="22"/>
        </w:rPr>
        <w:t>GDOT</w:t>
      </w:r>
      <w:r w:rsidRPr="003C66C6">
        <w:rPr>
          <w:rFonts w:asciiTheme="minorHAnsi" w:hAnsiTheme="minorHAnsi"/>
          <w:color w:val="auto"/>
          <w:sz w:val="22"/>
          <w:szCs w:val="22"/>
        </w:rPr>
        <w:t xml:space="preserve"> Office of Transportation Data on August 9, 2006. </w:t>
      </w:r>
      <w:r w:rsidR="00EC1DCD">
        <w:rPr>
          <w:rFonts w:asciiTheme="minorHAnsi" w:hAnsiTheme="minorHAnsi"/>
          <w:color w:val="auto"/>
          <w:sz w:val="22"/>
          <w:szCs w:val="22"/>
        </w:rPr>
        <w:t xml:space="preserve"> </w:t>
      </w:r>
      <w:r w:rsidRPr="003C66C6">
        <w:rPr>
          <w:rFonts w:asciiTheme="minorHAnsi" w:hAnsiTheme="minorHAnsi"/>
          <w:color w:val="auto"/>
          <w:sz w:val="22"/>
          <w:szCs w:val="22"/>
        </w:rPr>
        <w:t>Summer-adjustment factors for the 13- and 7-county geographies are listed below.</w:t>
      </w:r>
    </w:p>
    <w:p w:rsidR="00F32808" w:rsidRDefault="00F32808" w:rsidP="00F32808">
      <w:pPr>
        <w:pStyle w:val="Default"/>
        <w:rPr>
          <w:color w:val="auto"/>
          <w:sz w:val="23"/>
          <w:szCs w:val="23"/>
        </w:rPr>
      </w:pPr>
    </w:p>
    <w:p w:rsidR="00F32808" w:rsidRPr="00820EC9" w:rsidRDefault="00F32808" w:rsidP="00820EC9">
      <w:pPr>
        <w:jc w:val="center"/>
        <w:rPr>
          <w:b/>
          <w:sz w:val="24"/>
          <w:szCs w:val="24"/>
        </w:rPr>
      </w:pPr>
      <w:r w:rsidRPr="00820EC9">
        <w:rPr>
          <w:b/>
          <w:sz w:val="24"/>
          <w:szCs w:val="24"/>
        </w:rPr>
        <w:lastRenderedPageBreak/>
        <w:t xml:space="preserve">Table </w:t>
      </w:r>
      <w:r w:rsidR="00820EC9">
        <w:rPr>
          <w:b/>
          <w:sz w:val="24"/>
          <w:szCs w:val="24"/>
        </w:rPr>
        <w:t>5</w:t>
      </w:r>
      <w:r w:rsidRPr="00820EC9">
        <w:rPr>
          <w:b/>
          <w:sz w:val="24"/>
          <w:szCs w:val="24"/>
        </w:rPr>
        <w:t xml:space="preserve"> – Summer Adjustment Factors</w:t>
      </w:r>
    </w:p>
    <w:tbl>
      <w:tblPr>
        <w:tblStyle w:val="MediumShading2-Accent1"/>
        <w:tblW w:w="0" w:type="auto"/>
        <w:jc w:val="center"/>
        <w:tblLook w:val="0420"/>
      </w:tblPr>
      <w:tblGrid>
        <w:gridCol w:w="2272"/>
        <w:gridCol w:w="2051"/>
        <w:gridCol w:w="1289"/>
        <w:gridCol w:w="1177"/>
      </w:tblGrid>
      <w:tr w:rsidR="00F32808" w:rsidRPr="00847369" w:rsidTr="00EC1DCD">
        <w:trPr>
          <w:cnfStyle w:val="100000000000"/>
          <w:trHeight w:val="618"/>
          <w:jc w:val="center"/>
        </w:trPr>
        <w:tc>
          <w:tcPr>
            <w:tcW w:w="0" w:type="auto"/>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Functional Class Name</w:t>
            </w:r>
          </w:p>
        </w:tc>
        <w:tc>
          <w:tcPr>
            <w:tcW w:w="0" w:type="auto"/>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Functional Class No.</w:t>
            </w:r>
          </w:p>
        </w:tc>
        <w:tc>
          <w:tcPr>
            <w:tcW w:w="0" w:type="auto"/>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13 Counties</w:t>
            </w:r>
          </w:p>
        </w:tc>
        <w:tc>
          <w:tcPr>
            <w:tcW w:w="0" w:type="auto"/>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7 Counties</w:t>
            </w:r>
          </w:p>
        </w:tc>
      </w:tr>
      <w:tr w:rsidR="00F32808" w:rsidRPr="00847369" w:rsidTr="00EC1DCD">
        <w:trPr>
          <w:cnfStyle w:val="000000100000"/>
          <w:trHeight w:val="340"/>
          <w:jc w:val="center"/>
        </w:trPr>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Interstates/Fr</w:t>
            </w:r>
            <w:r w:rsidR="00AD5DCC">
              <w:rPr>
                <w:rFonts w:eastAsia="Times New Roman" w:cs="Times New Roman"/>
                <w:color w:val="000000"/>
              </w:rPr>
              <w:t>ee</w:t>
            </w:r>
            <w:r w:rsidRPr="003C66C6">
              <w:rPr>
                <w:rFonts w:eastAsia="Times New Roman" w:cs="Times New Roman"/>
                <w:color w:val="000000"/>
              </w:rPr>
              <w:t>w</w:t>
            </w:r>
            <w:r w:rsidR="00AD5DCC">
              <w:rPr>
                <w:rFonts w:eastAsia="Times New Roman" w:cs="Times New Roman"/>
                <w:color w:val="000000"/>
              </w:rPr>
              <w:t>a</w:t>
            </w:r>
            <w:r w:rsidRPr="003C66C6">
              <w:rPr>
                <w:rFonts w:eastAsia="Times New Roman" w:cs="Times New Roman"/>
                <w:color w:val="000000"/>
              </w:rPr>
              <w:t>y</w:t>
            </w:r>
            <w:r w:rsidR="00AD5DCC">
              <w:rPr>
                <w:rFonts w:eastAsia="Times New Roman" w:cs="Times New Roman"/>
                <w:color w:val="000000"/>
              </w:rPr>
              <w:t>s</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1,11,12</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1.02</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1.04</w:t>
            </w:r>
          </w:p>
        </w:tc>
      </w:tr>
      <w:tr w:rsidR="00F32808" w:rsidRPr="00847369" w:rsidTr="00EC1DCD">
        <w:trPr>
          <w:trHeight w:val="340"/>
          <w:jc w:val="center"/>
        </w:trPr>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Arterials</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2,6,14,16</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1.00</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1.02</w:t>
            </w:r>
          </w:p>
        </w:tc>
      </w:tr>
      <w:tr w:rsidR="00F32808" w:rsidRPr="00847369" w:rsidTr="00EC1DCD">
        <w:trPr>
          <w:cnfStyle w:val="000000100000"/>
          <w:trHeight w:val="315"/>
          <w:jc w:val="center"/>
        </w:trPr>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Collectors</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7,8,17</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0.99</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1.01</w:t>
            </w:r>
          </w:p>
        </w:tc>
      </w:tr>
      <w:tr w:rsidR="00F32808" w:rsidRPr="00847369" w:rsidTr="00EC1DCD">
        <w:trPr>
          <w:trHeight w:val="315"/>
          <w:jc w:val="center"/>
        </w:trPr>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Local</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9,19</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0.98</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1.01</w:t>
            </w:r>
          </w:p>
        </w:tc>
      </w:tr>
      <w:tr w:rsidR="000B4D69" w:rsidRPr="00847369" w:rsidTr="00EC1DCD">
        <w:trPr>
          <w:cnfStyle w:val="000000100000"/>
          <w:trHeight w:val="330"/>
          <w:jc w:val="center"/>
        </w:trPr>
        <w:tc>
          <w:tcPr>
            <w:tcW w:w="0" w:type="auto"/>
            <w:gridSpan w:val="2"/>
            <w:hideMark/>
          </w:tcPr>
          <w:p w:rsidR="000B4D69" w:rsidRPr="003C66C6" w:rsidRDefault="000B4D69" w:rsidP="00AD5DCC">
            <w:pPr>
              <w:jc w:val="center"/>
              <w:rPr>
                <w:rFonts w:eastAsia="Times New Roman" w:cs="Times New Roman"/>
                <w:color w:val="000000"/>
              </w:rPr>
            </w:pPr>
            <w:r w:rsidRPr="003C66C6">
              <w:rPr>
                <w:rFonts w:eastAsia="Times New Roman" w:cs="Times New Roman"/>
                <w:color w:val="000000"/>
              </w:rPr>
              <w:t>Total</w:t>
            </w:r>
          </w:p>
        </w:tc>
        <w:tc>
          <w:tcPr>
            <w:tcW w:w="0" w:type="auto"/>
            <w:hideMark/>
          </w:tcPr>
          <w:p w:rsidR="000B4D69" w:rsidRPr="003C66C6" w:rsidRDefault="000B4D69" w:rsidP="00AD5DCC">
            <w:pPr>
              <w:jc w:val="center"/>
              <w:rPr>
                <w:rFonts w:eastAsia="Times New Roman" w:cs="Times New Roman"/>
                <w:color w:val="000000"/>
              </w:rPr>
            </w:pPr>
            <w:r w:rsidRPr="003C66C6">
              <w:rPr>
                <w:rFonts w:eastAsia="Times New Roman" w:cs="Times New Roman"/>
                <w:color w:val="000000"/>
              </w:rPr>
              <w:t>1.00</w:t>
            </w:r>
          </w:p>
        </w:tc>
        <w:tc>
          <w:tcPr>
            <w:tcW w:w="0" w:type="auto"/>
            <w:hideMark/>
          </w:tcPr>
          <w:p w:rsidR="000B4D69" w:rsidRPr="003C66C6" w:rsidRDefault="000B4D69" w:rsidP="00AD5DCC">
            <w:pPr>
              <w:jc w:val="center"/>
              <w:rPr>
                <w:rFonts w:eastAsia="Times New Roman" w:cs="Times New Roman"/>
                <w:color w:val="000000"/>
              </w:rPr>
            </w:pPr>
            <w:r w:rsidRPr="003C66C6">
              <w:rPr>
                <w:rFonts w:eastAsia="Times New Roman" w:cs="Times New Roman"/>
                <w:color w:val="000000"/>
              </w:rPr>
              <w:t>1.02</w:t>
            </w:r>
          </w:p>
        </w:tc>
      </w:tr>
    </w:tbl>
    <w:p w:rsidR="00F32808" w:rsidRDefault="00F32808" w:rsidP="003C66C6">
      <w:pPr>
        <w:spacing w:after="0"/>
      </w:pPr>
    </w:p>
    <w:p w:rsidR="00F32808" w:rsidRPr="003C66C6" w:rsidRDefault="00F32808" w:rsidP="003C66C6">
      <w:pPr>
        <w:pStyle w:val="Default"/>
        <w:spacing w:line="276" w:lineRule="auto"/>
        <w:ind w:right="-90"/>
        <w:jc w:val="both"/>
        <w:rPr>
          <w:rFonts w:asciiTheme="minorHAnsi" w:hAnsiTheme="minorHAnsi"/>
          <w:color w:val="auto"/>
          <w:sz w:val="22"/>
          <w:szCs w:val="22"/>
        </w:rPr>
      </w:pPr>
      <w:r w:rsidRPr="003C66C6">
        <w:rPr>
          <w:rFonts w:asciiTheme="minorHAnsi" w:hAnsiTheme="minorHAnsi"/>
          <w:color w:val="auto"/>
          <w:sz w:val="22"/>
          <w:szCs w:val="22"/>
        </w:rPr>
        <w:t xml:space="preserve">HPMS adjustment factors were multiplied by the seasonal adjustment factors for the HPMS functional classification categories to produce a set of VMT adjustment factors by HPMS functional classification for 13-county and 7-county portions of the 20-county </w:t>
      </w:r>
      <w:r w:rsidR="003C66C6">
        <w:rPr>
          <w:rFonts w:asciiTheme="minorHAnsi" w:hAnsiTheme="minorHAnsi"/>
          <w:color w:val="auto"/>
          <w:sz w:val="22"/>
          <w:szCs w:val="22"/>
        </w:rPr>
        <w:t xml:space="preserve">eight-hour ozone </w:t>
      </w:r>
      <w:r w:rsidRPr="003C66C6">
        <w:rPr>
          <w:rFonts w:asciiTheme="minorHAnsi" w:hAnsiTheme="minorHAnsi"/>
          <w:color w:val="auto"/>
          <w:sz w:val="22"/>
          <w:szCs w:val="22"/>
        </w:rPr>
        <w:t>nonattainment area, separately. The final VMT adjustment factors listed below are used for ozone precursor modeling.</w:t>
      </w:r>
    </w:p>
    <w:p w:rsidR="00F32808" w:rsidRDefault="00F32808" w:rsidP="00F32808">
      <w:pPr>
        <w:pStyle w:val="Default"/>
        <w:ind w:right="-90"/>
        <w:jc w:val="both"/>
        <w:rPr>
          <w:color w:val="auto"/>
          <w:sz w:val="23"/>
          <w:szCs w:val="23"/>
        </w:rPr>
      </w:pPr>
    </w:p>
    <w:p w:rsidR="00F32808" w:rsidRPr="00820EC9" w:rsidRDefault="00F32808" w:rsidP="00820EC9">
      <w:pPr>
        <w:jc w:val="center"/>
        <w:rPr>
          <w:b/>
          <w:sz w:val="24"/>
          <w:szCs w:val="24"/>
        </w:rPr>
      </w:pPr>
      <w:r w:rsidRPr="00820EC9">
        <w:rPr>
          <w:b/>
          <w:sz w:val="24"/>
          <w:szCs w:val="24"/>
        </w:rPr>
        <w:t xml:space="preserve">Table </w:t>
      </w:r>
      <w:r w:rsidR="00820EC9">
        <w:rPr>
          <w:b/>
          <w:sz w:val="24"/>
          <w:szCs w:val="24"/>
        </w:rPr>
        <w:t>6</w:t>
      </w:r>
      <w:r w:rsidRPr="00820EC9">
        <w:rPr>
          <w:b/>
          <w:sz w:val="24"/>
          <w:szCs w:val="24"/>
        </w:rPr>
        <w:t xml:space="preserve"> – VMT Adjustment Factors for Ozone</w:t>
      </w:r>
    </w:p>
    <w:tbl>
      <w:tblPr>
        <w:tblStyle w:val="MediumShading2-Accent1"/>
        <w:tblW w:w="0" w:type="auto"/>
        <w:jc w:val="center"/>
        <w:tblLook w:val="0420"/>
      </w:tblPr>
      <w:tblGrid>
        <w:gridCol w:w="2272"/>
        <w:gridCol w:w="2051"/>
        <w:gridCol w:w="1289"/>
        <w:gridCol w:w="1177"/>
      </w:tblGrid>
      <w:tr w:rsidR="00F32808" w:rsidRPr="00487C16" w:rsidTr="00EC1DCD">
        <w:trPr>
          <w:cnfStyle w:val="100000000000"/>
          <w:trHeight w:val="600"/>
          <w:jc w:val="center"/>
        </w:trPr>
        <w:tc>
          <w:tcPr>
            <w:tcW w:w="0" w:type="auto"/>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Functional Class Name</w:t>
            </w:r>
          </w:p>
        </w:tc>
        <w:tc>
          <w:tcPr>
            <w:tcW w:w="0" w:type="auto"/>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Functional Class No.</w:t>
            </w:r>
          </w:p>
        </w:tc>
        <w:tc>
          <w:tcPr>
            <w:tcW w:w="0" w:type="auto"/>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13 Counties</w:t>
            </w:r>
          </w:p>
        </w:tc>
        <w:tc>
          <w:tcPr>
            <w:tcW w:w="0" w:type="auto"/>
            <w:hideMark/>
          </w:tcPr>
          <w:p w:rsidR="00F32808" w:rsidRPr="00AD5DCC" w:rsidRDefault="00F32808" w:rsidP="00AD5DCC">
            <w:pPr>
              <w:jc w:val="center"/>
              <w:rPr>
                <w:rFonts w:eastAsia="Times New Roman" w:cs="Times New Roman"/>
                <w:b w:val="0"/>
                <w:bCs w:val="0"/>
              </w:rPr>
            </w:pPr>
            <w:r w:rsidRPr="00AD5DCC">
              <w:rPr>
                <w:rFonts w:eastAsia="Times New Roman" w:cs="Times New Roman"/>
              </w:rPr>
              <w:t>7 Counties</w:t>
            </w:r>
          </w:p>
        </w:tc>
      </w:tr>
      <w:tr w:rsidR="00F32808" w:rsidRPr="00487C16" w:rsidTr="00EC1DCD">
        <w:trPr>
          <w:cnfStyle w:val="000000100000"/>
          <w:trHeight w:val="315"/>
          <w:jc w:val="center"/>
        </w:trPr>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Interstates/</w:t>
            </w:r>
            <w:proofErr w:type="spellStart"/>
            <w:r w:rsidRPr="003C66C6">
              <w:rPr>
                <w:rFonts w:eastAsia="Times New Roman" w:cs="Times New Roman"/>
                <w:color w:val="000000"/>
              </w:rPr>
              <w:t>Frwy</w:t>
            </w:r>
            <w:proofErr w:type="spellEnd"/>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1,11,12</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1.05</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0.89</w:t>
            </w:r>
          </w:p>
        </w:tc>
      </w:tr>
      <w:tr w:rsidR="00F32808" w:rsidRPr="00487C16" w:rsidTr="00EC1DCD">
        <w:trPr>
          <w:trHeight w:val="315"/>
          <w:jc w:val="center"/>
        </w:trPr>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Arterials</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2,6,14,16</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0.98</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0.99</w:t>
            </w:r>
          </w:p>
        </w:tc>
      </w:tr>
      <w:tr w:rsidR="00F32808" w:rsidRPr="00487C16" w:rsidTr="00EC1DCD">
        <w:trPr>
          <w:cnfStyle w:val="000000100000"/>
          <w:trHeight w:val="315"/>
          <w:jc w:val="center"/>
        </w:trPr>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Collectors</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7,8,17</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1.07</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1.81</w:t>
            </w:r>
          </w:p>
        </w:tc>
      </w:tr>
      <w:tr w:rsidR="00F32808" w:rsidRPr="00487C16" w:rsidTr="00EC1DCD">
        <w:trPr>
          <w:trHeight w:val="315"/>
          <w:jc w:val="center"/>
        </w:trPr>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Local</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9,19</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0.87</w:t>
            </w:r>
          </w:p>
        </w:tc>
        <w:tc>
          <w:tcPr>
            <w:tcW w:w="0" w:type="auto"/>
            <w:hideMark/>
          </w:tcPr>
          <w:p w:rsidR="00F32808" w:rsidRPr="003C66C6" w:rsidRDefault="00F32808" w:rsidP="00AD5DCC">
            <w:pPr>
              <w:jc w:val="center"/>
              <w:rPr>
                <w:rFonts w:eastAsia="Times New Roman" w:cs="Times New Roman"/>
                <w:color w:val="000000"/>
              </w:rPr>
            </w:pPr>
            <w:r w:rsidRPr="003C66C6">
              <w:rPr>
                <w:rFonts w:eastAsia="Times New Roman" w:cs="Times New Roman"/>
                <w:color w:val="000000"/>
              </w:rPr>
              <w:t>1.10</w:t>
            </w:r>
          </w:p>
        </w:tc>
      </w:tr>
      <w:tr w:rsidR="000B4D69" w:rsidRPr="00487C16" w:rsidTr="00EC1DCD">
        <w:trPr>
          <w:cnfStyle w:val="000000100000"/>
          <w:trHeight w:val="330"/>
          <w:jc w:val="center"/>
        </w:trPr>
        <w:tc>
          <w:tcPr>
            <w:tcW w:w="0" w:type="auto"/>
            <w:gridSpan w:val="2"/>
            <w:hideMark/>
          </w:tcPr>
          <w:p w:rsidR="000B4D69" w:rsidRPr="003C66C6" w:rsidRDefault="000B4D69" w:rsidP="00AD5DCC">
            <w:pPr>
              <w:jc w:val="center"/>
              <w:rPr>
                <w:rFonts w:eastAsia="Times New Roman" w:cs="Times New Roman"/>
                <w:color w:val="000000"/>
              </w:rPr>
            </w:pPr>
            <w:r w:rsidRPr="003C66C6">
              <w:rPr>
                <w:rFonts w:eastAsia="Times New Roman" w:cs="Times New Roman"/>
                <w:color w:val="000000"/>
              </w:rPr>
              <w:t>Total</w:t>
            </w:r>
          </w:p>
        </w:tc>
        <w:tc>
          <w:tcPr>
            <w:tcW w:w="0" w:type="auto"/>
            <w:hideMark/>
          </w:tcPr>
          <w:p w:rsidR="000B4D69" w:rsidRPr="003C66C6" w:rsidRDefault="000B4D69" w:rsidP="00AD5DCC">
            <w:pPr>
              <w:jc w:val="center"/>
              <w:rPr>
                <w:rFonts w:eastAsia="Times New Roman" w:cs="Times New Roman"/>
                <w:color w:val="000000"/>
              </w:rPr>
            </w:pPr>
            <w:r w:rsidRPr="003C66C6">
              <w:rPr>
                <w:rFonts w:eastAsia="Times New Roman" w:cs="Times New Roman"/>
                <w:color w:val="000000"/>
              </w:rPr>
              <w:t>1.00</w:t>
            </w:r>
          </w:p>
        </w:tc>
        <w:tc>
          <w:tcPr>
            <w:tcW w:w="0" w:type="auto"/>
            <w:hideMark/>
          </w:tcPr>
          <w:p w:rsidR="000B4D69" w:rsidRPr="003C66C6" w:rsidRDefault="000B4D69" w:rsidP="00AD5DCC">
            <w:pPr>
              <w:jc w:val="center"/>
              <w:rPr>
                <w:rFonts w:eastAsia="Times New Roman" w:cs="Times New Roman"/>
                <w:color w:val="000000"/>
              </w:rPr>
            </w:pPr>
            <w:r w:rsidRPr="003C66C6">
              <w:rPr>
                <w:rFonts w:eastAsia="Times New Roman" w:cs="Times New Roman"/>
                <w:color w:val="000000"/>
              </w:rPr>
              <w:t>1.06</w:t>
            </w:r>
          </w:p>
        </w:tc>
      </w:tr>
    </w:tbl>
    <w:p w:rsidR="00F32808" w:rsidRDefault="00F32808" w:rsidP="00F32808">
      <w:pPr>
        <w:pStyle w:val="Default"/>
        <w:ind w:right="-90"/>
        <w:jc w:val="both"/>
        <w:rPr>
          <w:color w:val="auto"/>
          <w:sz w:val="23"/>
          <w:szCs w:val="23"/>
        </w:rPr>
      </w:pPr>
    </w:p>
    <w:p w:rsidR="00F32808" w:rsidRPr="003C66C6" w:rsidRDefault="00F32808" w:rsidP="00815A61">
      <w:pPr>
        <w:pStyle w:val="Heading2"/>
      </w:pPr>
      <w:bookmarkStart w:id="27" w:name="_Toc307469375"/>
      <w:bookmarkStart w:id="28" w:name="_Toc307490343"/>
      <w:r w:rsidRPr="003C66C6">
        <w:t>Network Refinements</w:t>
      </w:r>
      <w:bookmarkEnd w:id="27"/>
      <w:bookmarkEnd w:id="28"/>
    </w:p>
    <w:p w:rsidR="00EC1DCD" w:rsidRDefault="00F32808" w:rsidP="003C66C6">
      <w:pPr>
        <w:pStyle w:val="Default"/>
        <w:spacing w:line="276" w:lineRule="auto"/>
        <w:jc w:val="both"/>
        <w:rPr>
          <w:rFonts w:asciiTheme="minorHAnsi" w:hAnsiTheme="minorHAnsi"/>
          <w:color w:val="auto"/>
          <w:sz w:val="22"/>
          <w:szCs w:val="22"/>
        </w:rPr>
      </w:pPr>
      <w:r w:rsidRPr="003C66C6">
        <w:rPr>
          <w:rFonts w:asciiTheme="minorHAnsi" w:hAnsiTheme="minorHAnsi"/>
          <w:color w:val="auto"/>
          <w:sz w:val="22"/>
          <w:szCs w:val="22"/>
        </w:rPr>
        <w:t xml:space="preserve">The following refinements were performed </w:t>
      </w:r>
      <w:r w:rsidR="00EC1DCD">
        <w:rPr>
          <w:rFonts w:asciiTheme="minorHAnsi" w:hAnsiTheme="minorHAnsi"/>
          <w:color w:val="auto"/>
          <w:sz w:val="22"/>
          <w:szCs w:val="22"/>
        </w:rPr>
        <w:t>on the final highway assignment:</w:t>
      </w:r>
    </w:p>
    <w:p w:rsidR="00F32808" w:rsidRPr="003C66C6" w:rsidRDefault="00F32808" w:rsidP="003C66C6">
      <w:pPr>
        <w:pStyle w:val="Default"/>
        <w:spacing w:line="276" w:lineRule="auto"/>
        <w:jc w:val="both"/>
        <w:rPr>
          <w:rFonts w:asciiTheme="minorHAnsi" w:hAnsiTheme="minorHAnsi"/>
          <w:color w:val="auto"/>
          <w:sz w:val="22"/>
          <w:szCs w:val="22"/>
        </w:rPr>
      </w:pPr>
      <w:r w:rsidRPr="003C66C6">
        <w:rPr>
          <w:rFonts w:asciiTheme="minorHAnsi" w:hAnsiTheme="minorHAnsi"/>
          <w:color w:val="auto"/>
          <w:sz w:val="22"/>
          <w:szCs w:val="22"/>
        </w:rPr>
        <w:t xml:space="preserve">   </w:t>
      </w:r>
    </w:p>
    <w:p w:rsidR="00F32808" w:rsidRPr="003C66C6" w:rsidRDefault="00F32808" w:rsidP="003C66C6">
      <w:pPr>
        <w:pStyle w:val="Default"/>
        <w:numPr>
          <w:ilvl w:val="0"/>
          <w:numId w:val="18"/>
        </w:numPr>
        <w:spacing w:line="276" w:lineRule="auto"/>
        <w:jc w:val="both"/>
        <w:rPr>
          <w:rFonts w:asciiTheme="minorHAnsi" w:hAnsiTheme="minorHAnsi"/>
          <w:color w:val="auto"/>
          <w:sz w:val="22"/>
          <w:szCs w:val="22"/>
        </w:rPr>
      </w:pPr>
      <w:r w:rsidRPr="003C66C6">
        <w:rPr>
          <w:rFonts w:asciiTheme="minorHAnsi" w:hAnsiTheme="minorHAnsi"/>
          <w:color w:val="auto"/>
          <w:sz w:val="22"/>
          <w:szCs w:val="22"/>
        </w:rPr>
        <w:t>Transit volumes from the daily transit assignment reflecting bus service were added to the highway network</w:t>
      </w:r>
    </w:p>
    <w:p w:rsidR="00F32808" w:rsidRPr="003C66C6" w:rsidRDefault="00F32808" w:rsidP="003C66C6">
      <w:pPr>
        <w:pStyle w:val="Default"/>
        <w:numPr>
          <w:ilvl w:val="0"/>
          <w:numId w:val="18"/>
        </w:numPr>
        <w:spacing w:line="276" w:lineRule="auto"/>
        <w:jc w:val="both"/>
        <w:rPr>
          <w:rFonts w:asciiTheme="minorHAnsi" w:hAnsiTheme="minorHAnsi"/>
          <w:color w:val="auto"/>
          <w:sz w:val="22"/>
          <w:szCs w:val="22"/>
          <w:u w:val="single"/>
        </w:rPr>
      </w:pPr>
      <w:r w:rsidRPr="003C66C6">
        <w:rPr>
          <w:rFonts w:asciiTheme="minorHAnsi" w:hAnsiTheme="minorHAnsi"/>
          <w:color w:val="auto"/>
          <w:sz w:val="22"/>
          <w:szCs w:val="22"/>
        </w:rPr>
        <w:t>Links with missing or out of range HPMS code were assigned a code based on the link facility and area type</w:t>
      </w:r>
    </w:p>
    <w:p w:rsidR="00F32808" w:rsidRPr="003C66C6" w:rsidRDefault="003C66C6" w:rsidP="003C66C6">
      <w:pPr>
        <w:pStyle w:val="Default"/>
        <w:numPr>
          <w:ilvl w:val="0"/>
          <w:numId w:val="18"/>
        </w:numPr>
        <w:spacing w:line="276" w:lineRule="auto"/>
        <w:jc w:val="both"/>
        <w:rPr>
          <w:rFonts w:asciiTheme="minorHAnsi" w:hAnsiTheme="minorHAnsi"/>
          <w:color w:val="auto"/>
          <w:sz w:val="22"/>
          <w:szCs w:val="22"/>
        </w:rPr>
      </w:pPr>
      <w:proofErr w:type="spellStart"/>
      <w:r>
        <w:rPr>
          <w:rFonts w:asciiTheme="minorHAnsi" w:hAnsiTheme="minorHAnsi"/>
          <w:color w:val="auto"/>
          <w:sz w:val="22"/>
          <w:szCs w:val="22"/>
        </w:rPr>
        <w:t>C</w:t>
      </w:r>
      <w:r w:rsidR="00F32808" w:rsidRPr="003C66C6">
        <w:rPr>
          <w:rFonts w:asciiTheme="minorHAnsi" w:hAnsiTheme="minorHAnsi"/>
          <w:color w:val="auto"/>
          <w:sz w:val="22"/>
          <w:szCs w:val="22"/>
        </w:rPr>
        <w:t>entroid</w:t>
      </w:r>
      <w:proofErr w:type="spellEnd"/>
      <w:r w:rsidR="00F32808" w:rsidRPr="003C66C6">
        <w:rPr>
          <w:rFonts w:asciiTheme="minorHAnsi" w:hAnsiTheme="minorHAnsi"/>
          <w:color w:val="auto"/>
          <w:sz w:val="22"/>
          <w:szCs w:val="22"/>
        </w:rPr>
        <w:t xml:space="preserve"> connector speeds</w:t>
      </w:r>
      <w:r>
        <w:rPr>
          <w:rFonts w:asciiTheme="minorHAnsi" w:hAnsiTheme="minorHAnsi"/>
          <w:color w:val="auto"/>
          <w:sz w:val="22"/>
          <w:szCs w:val="22"/>
        </w:rPr>
        <w:t xml:space="preserve"> were set</w:t>
      </w:r>
      <w:r w:rsidR="00F32808" w:rsidRPr="003C66C6">
        <w:rPr>
          <w:rFonts w:asciiTheme="minorHAnsi" w:hAnsiTheme="minorHAnsi"/>
          <w:color w:val="auto"/>
          <w:sz w:val="22"/>
          <w:szCs w:val="22"/>
        </w:rPr>
        <w:t xml:space="preserve"> based on area type to represent speeds on local roads</w:t>
      </w:r>
    </w:p>
    <w:p w:rsidR="00F32808" w:rsidRPr="003C66C6" w:rsidRDefault="00F32808" w:rsidP="003C66C6">
      <w:pPr>
        <w:pStyle w:val="Default"/>
        <w:numPr>
          <w:ilvl w:val="1"/>
          <w:numId w:val="18"/>
        </w:numPr>
        <w:spacing w:line="276" w:lineRule="auto"/>
        <w:jc w:val="both"/>
        <w:rPr>
          <w:rFonts w:asciiTheme="minorHAnsi" w:hAnsiTheme="minorHAnsi"/>
          <w:color w:val="auto"/>
          <w:sz w:val="22"/>
          <w:szCs w:val="22"/>
        </w:rPr>
      </w:pPr>
      <w:r w:rsidRPr="003C66C6">
        <w:rPr>
          <w:rFonts w:asciiTheme="minorHAnsi" w:hAnsiTheme="minorHAnsi"/>
          <w:color w:val="auto"/>
          <w:sz w:val="22"/>
          <w:szCs w:val="22"/>
        </w:rPr>
        <w:t xml:space="preserve">Urban </w:t>
      </w:r>
      <w:r w:rsidR="0098780A">
        <w:rPr>
          <w:rFonts w:asciiTheme="minorHAnsi" w:hAnsiTheme="minorHAnsi"/>
          <w:color w:val="auto"/>
          <w:sz w:val="22"/>
          <w:szCs w:val="22"/>
        </w:rPr>
        <w:t xml:space="preserve">Very </w:t>
      </w:r>
      <w:r w:rsidRPr="003C66C6">
        <w:rPr>
          <w:rFonts w:asciiTheme="minorHAnsi" w:hAnsiTheme="minorHAnsi"/>
          <w:color w:val="auto"/>
          <w:sz w:val="22"/>
          <w:szCs w:val="22"/>
        </w:rPr>
        <w:t>High Density = 15</w:t>
      </w:r>
    </w:p>
    <w:p w:rsidR="00F32808" w:rsidRPr="003C66C6" w:rsidRDefault="00F32808" w:rsidP="003C66C6">
      <w:pPr>
        <w:pStyle w:val="Default"/>
        <w:numPr>
          <w:ilvl w:val="1"/>
          <w:numId w:val="18"/>
        </w:numPr>
        <w:spacing w:line="276" w:lineRule="auto"/>
        <w:jc w:val="both"/>
        <w:rPr>
          <w:rFonts w:asciiTheme="minorHAnsi" w:hAnsiTheme="minorHAnsi"/>
          <w:color w:val="auto"/>
          <w:sz w:val="22"/>
          <w:szCs w:val="22"/>
        </w:rPr>
      </w:pPr>
      <w:r w:rsidRPr="003C66C6">
        <w:rPr>
          <w:rFonts w:asciiTheme="minorHAnsi" w:hAnsiTheme="minorHAnsi"/>
          <w:color w:val="auto"/>
          <w:sz w:val="22"/>
          <w:szCs w:val="22"/>
        </w:rPr>
        <w:t>Urban High Density = 18</w:t>
      </w:r>
    </w:p>
    <w:p w:rsidR="00F32808" w:rsidRPr="003C66C6" w:rsidRDefault="00F32808" w:rsidP="003C66C6">
      <w:pPr>
        <w:pStyle w:val="Default"/>
        <w:numPr>
          <w:ilvl w:val="1"/>
          <w:numId w:val="18"/>
        </w:numPr>
        <w:spacing w:line="276" w:lineRule="auto"/>
        <w:jc w:val="both"/>
        <w:rPr>
          <w:rFonts w:asciiTheme="minorHAnsi" w:hAnsiTheme="minorHAnsi"/>
          <w:color w:val="auto"/>
          <w:sz w:val="22"/>
          <w:szCs w:val="22"/>
        </w:rPr>
      </w:pPr>
      <w:r w:rsidRPr="003C66C6">
        <w:rPr>
          <w:rFonts w:asciiTheme="minorHAnsi" w:hAnsiTheme="minorHAnsi"/>
          <w:color w:val="auto"/>
          <w:sz w:val="22"/>
          <w:szCs w:val="22"/>
        </w:rPr>
        <w:t>Urban Medium Density = 21</w:t>
      </w:r>
    </w:p>
    <w:p w:rsidR="00F32808" w:rsidRPr="003C66C6" w:rsidRDefault="00F32808" w:rsidP="003C66C6">
      <w:pPr>
        <w:pStyle w:val="Default"/>
        <w:numPr>
          <w:ilvl w:val="1"/>
          <w:numId w:val="18"/>
        </w:numPr>
        <w:spacing w:line="276" w:lineRule="auto"/>
        <w:jc w:val="both"/>
        <w:rPr>
          <w:rFonts w:asciiTheme="minorHAnsi" w:hAnsiTheme="minorHAnsi"/>
          <w:color w:val="auto"/>
          <w:sz w:val="22"/>
          <w:szCs w:val="22"/>
        </w:rPr>
      </w:pPr>
      <w:r w:rsidRPr="003C66C6">
        <w:rPr>
          <w:rFonts w:asciiTheme="minorHAnsi" w:hAnsiTheme="minorHAnsi"/>
          <w:color w:val="auto"/>
          <w:sz w:val="22"/>
          <w:szCs w:val="22"/>
        </w:rPr>
        <w:t>Urban Low Density = 24</w:t>
      </w:r>
    </w:p>
    <w:p w:rsidR="00F32808" w:rsidRPr="003C66C6" w:rsidRDefault="00F32808" w:rsidP="003C66C6">
      <w:pPr>
        <w:pStyle w:val="Default"/>
        <w:numPr>
          <w:ilvl w:val="1"/>
          <w:numId w:val="18"/>
        </w:numPr>
        <w:spacing w:line="276" w:lineRule="auto"/>
        <w:jc w:val="both"/>
        <w:rPr>
          <w:rFonts w:asciiTheme="minorHAnsi" w:hAnsiTheme="minorHAnsi"/>
          <w:color w:val="auto"/>
          <w:sz w:val="22"/>
          <w:szCs w:val="22"/>
        </w:rPr>
      </w:pPr>
      <w:r w:rsidRPr="003C66C6">
        <w:rPr>
          <w:rFonts w:asciiTheme="minorHAnsi" w:hAnsiTheme="minorHAnsi"/>
          <w:color w:val="auto"/>
          <w:sz w:val="22"/>
          <w:szCs w:val="22"/>
        </w:rPr>
        <w:t>Suburban = 27</w:t>
      </w:r>
    </w:p>
    <w:p w:rsidR="00F32808" w:rsidRPr="003C66C6" w:rsidRDefault="00F32808" w:rsidP="003C66C6">
      <w:pPr>
        <w:pStyle w:val="Default"/>
        <w:numPr>
          <w:ilvl w:val="1"/>
          <w:numId w:val="18"/>
        </w:numPr>
        <w:spacing w:line="276" w:lineRule="auto"/>
        <w:jc w:val="both"/>
        <w:rPr>
          <w:rFonts w:asciiTheme="minorHAnsi" w:hAnsiTheme="minorHAnsi"/>
          <w:color w:val="auto"/>
          <w:sz w:val="22"/>
          <w:szCs w:val="22"/>
        </w:rPr>
      </w:pPr>
      <w:r w:rsidRPr="003C66C6">
        <w:rPr>
          <w:rFonts w:asciiTheme="minorHAnsi" w:hAnsiTheme="minorHAnsi"/>
          <w:color w:val="auto"/>
          <w:sz w:val="22"/>
          <w:szCs w:val="22"/>
        </w:rPr>
        <w:t>Exurban  = 30</w:t>
      </w:r>
    </w:p>
    <w:p w:rsidR="00F32808" w:rsidRPr="003C66C6" w:rsidRDefault="00F32808" w:rsidP="003C66C6">
      <w:pPr>
        <w:pStyle w:val="Default"/>
        <w:numPr>
          <w:ilvl w:val="1"/>
          <w:numId w:val="18"/>
        </w:numPr>
        <w:spacing w:line="276" w:lineRule="auto"/>
        <w:jc w:val="both"/>
        <w:rPr>
          <w:rFonts w:asciiTheme="minorHAnsi" w:hAnsiTheme="minorHAnsi"/>
          <w:color w:val="auto"/>
          <w:sz w:val="22"/>
          <w:szCs w:val="22"/>
        </w:rPr>
      </w:pPr>
      <w:r w:rsidRPr="003C66C6">
        <w:rPr>
          <w:rFonts w:asciiTheme="minorHAnsi" w:hAnsiTheme="minorHAnsi"/>
          <w:color w:val="auto"/>
          <w:sz w:val="22"/>
          <w:szCs w:val="22"/>
        </w:rPr>
        <w:t>Rural = 35</w:t>
      </w:r>
    </w:p>
    <w:p w:rsidR="00F32808" w:rsidRPr="003C66C6" w:rsidRDefault="00F32808" w:rsidP="00815A61">
      <w:pPr>
        <w:pStyle w:val="Heading2"/>
        <w:rPr>
          <w:rFonts w:asciiTheme="minorHAnsi" w:hAnsiTheme="minorHAnsi"/>
          <w:color w:val="auto"/>
          <w:sz w:val="22"/>
          <w:szCs w:val="22"/>
          <w:u w:val="single"/>
        </w:rPr>
      </w:pPr>
      <w:bookmarkStart w:id="29" w:name="_Toc307469376"/>
      <w:bookmarkStart w:id="30" w:name="_Toc307490344"/>
      <w:r w:rsidRPr="003C66C6">
        <w:lastRenderedPageBreak/>
        <w:t>VMT by Hour</w:t>
      </w:r>
      <w:bookmarkEnd w:id="29"/>
      <w:bookmarkEnd w:id="30"/>
    </w:p>
    <w:p w:rsidR="00F32808" w:rsidRDefault="00F32808" w:rsidP="003C66C6">
      <w:pPr>
        <w:pStyle w:val="Default"/>
        <w:spacing w:line="276" w:lineRule="auto"/>
        <w:jc w:val="both"/>
        <w:rPr>
          <w:rFonts w:asciiTheme="minorHAnsi" w:hAnsiTheme="minorHAnsi"/>
          <w:color w:val="auto"/>
          <w:sz w:val="22"/>
          <w:szCs w:val="22"/>
        </w:rPr>
      </w:pPr>
      <w:proofErr w:type="gramStart"/>
      <w:r w:rsidRPr="003C66C6">
        <w:rPr>
          <w:rFonts w:asciiTheme="minorHAnsi" w:hAnsiTheme="minorHAnsi"/>
          <w:color w:val="auto"/>
          <w:sz w:val="22"/>
          <w:szCs w:val="22"/>
        </w:rPr>
        <w:t>MOVES requires</w:t>
      </w:r>
      <w:proofErr w:type="gramEnd"/>
      <w:r w:rsidRPr="003C66C6">
        <w:rPr>
          <w:rFonts w:asciiTheme="minorHAnsi" w:hAnsiTheme="minorHAnsi"/>
          <w:color w:val="auto"/>
          <w:sz w:val="22"/>
          <w:szCs w:val="22"/>
        </w:rPr>
        <w:t xml:space="preserve"> the stratification of the VMT, VHT and speeds by hour to provide more accurate information for use in estimating emissions</w:t>
      </w:r>
      <w:r w:rsidR="00EC1DCD">
        <w:rPr>
          <w:rFonts w:asciiTheme="minorHAnsi" w:hAnsiTheme="minorHAnsi"/>
          <w:color w:val="auto"/>
          <w:sz w:val="22"/>
          <w:szCs w:val="22"/>
        </w:rPr>
        <w:t>.</w:t>
      </w:r>
      <w:r w:rsidRPr="003C66C6">
        <w:rPr>
          <w:rFonts w:asciiTheme="minorHAnsi" w:hAnsiTheme="minorHAnsi"/>
          <w:color w:val="auto"/>
          <w:sz w:val="22"/>
          <w:szCs w:val="22"/>
        </w:rPr>
        <w:t xml:space="preserve"> </w:t>
      </w:r>
      <w:r w:rsidR="00EC1DCD">
        <w:rPr>
          <w:rFonts w:asciiTheme="minorHAnsi" w:hAnsiTheme="minorHAnsi"/>
          <w:color w:val="auto"/>
          <w:sz w:val="22"/>
          <w:szCs w:val="22"/>
        </w:rPr>
        <w:t xml:space="preserve"> </w:t>
      </w:r>
      <w:r w:rsidRPr="003C66C6">
        <w:rPr>
          <w:rFonts w:asciiTheme="minorHAnsi" w:hAnsiTheme="minorHAnsi"/>
          <w:color w:val="auto"/>
          <w:sz w:val="22"/>
          <w:szCs w:val="22"/>
        </w:rPr>
        <w:t>The regional travel demand model produces VMT estimates and speeds by the four t</w:t>
      </w:r>
      <w:r w:rsidR="00C1075C">
        <w:rPr>
          <w:rFonts w:asciiTheme="minorHAnsi" w:hAnsiTheme="minorHAnsi"/>
          <w:color w:val="auto"/>
          <w:sz w:val="22"/>
          <w:szCs w:val="22"/>
        </w:rPr>
        <w:t>ime-of-day periods listed below:</w:t>
      </w:r>
      <w:r w:rsidRPr="003C66C6">
        <w:rPr>
          <w:rFonts w:asciiTheme="minorHAnsi" w:hAnsiTheme="minorHAnsi"/>
          <w:color w:val="auto"/>
          <w:sz w:val="22"/>
          <w:szCs w:val="22"/>
        </w:rPr>
        <w:t xml:space="preserve">  </w:t>
      </w:r>
    </w:p>
    <w:p w:rsidR="00BF4DD9" w:rsidRDefault="00BF4DD9" w:rsidP="003C66C6">
      <w:pPr>
        <w:pStyle w:val="Default"/>
        <w:spacing w:line="276" w:lineRule="auto"/>
        <w:jc w:val="both"/>
        <w:rPr>
          <w:rFonts w:asciiTheme="minorHAnsi" w:hAnsiTheme="minorHAnsi"/>
          <w:color w:val="auto"/>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2"/>
        <w:gridCol w:w="3192"/>
        <w:gridCol w:w="3192"/>
      </w:tblGrid>
      <w:tr w:rsidR="00BF4DD9" w:rsidTr="00BF4DD9">
        <w:tc>
          <w:tcPr>
            <w:tcW w:w="3192" w:type="dxa"/>
          </w:tcPr>
          <w:p w:rsidR="00BF4DD9" w:rsidRDefault="00BF4DD9" w:rsidP="00BF4DD9">
            <w:pPr>
              <w:pStyle w:val="Default"/>
              <w:numPr>
                <w:ilvl w:val="0"/>
                <w:numId w:val="19"/>
              </w:numPr>
              <w:spacing w:line="276" w:lineRule="auto"/>
              <w:jc w:val="both"/>
              <w:rPr>
                <w:rFonts w:asciiTheme="minorHAnsi" w:hAnsiTheme="minorHAnsi"/>
                <w:color w:val="auto"/>
                <w:sz w:val="22"/>
                <w:szCs w:val="22"/>
              </w:rPr>
            </w:pPr>
            <w:r>
              <w:rPr>
                <w:rFonts w:asciiTheme="minorHAnsi" w:hAnsiTheme="minorHAnsi"/>
                <w:color w:val="auto"/>
                <w:sz w:val="22"/>
                <w:szCs w:val="22"/>
              </w:rPr>
              <w:t>AM Period</w:t>
            </w:r>
          </w:p>
        </w:tc>
        <w:tc>
          <w:tcPr>
            <w:tcW w:w="3192" w:type="dxa"/>
          </w:tcPr>
          <w:p w:rsidR="00BF4DD9" w:rsidRDefault="00BF4DD9" w:rsidP="003C66C6">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6:00 am – 10:00 am</w:t>
            </w:r>
          </w:p>
        </w:tc>
        <w:tc>
          <w:tcPr>
            <w:tcW w:w="3192" w:type="dxa"/>
          </w:tcPr>
          <w:p w:rsidR="00BF4DD9" w:rsidRDefault="00BF4DD9" w:rsidP="003C66C6">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4 hours</w:t>
            </w:r>
          </w:p>
        </w:tc>
      </w:tr>
      <w:tr w:rsidR="00BF4DD9" w:rsidTr="00BF4DD9">
        <w:tc>
          <w:tcPr>
            <w:tcW w:w="3192" w:type="dxa"/>
          </w:tcPr>
          <w:p w:rsidR="00BF4DD9" w:rsidRDefault="00BF4DD9" w:rsidP="00BF4DD9">
            <w:pPr>
              <w:pStyle w:val="Default"/>
              <w:numPr>
                <w:ilvl w:val="0"/>
                <w:numId w:val="19"/>
              </w:numPr>
              <w:spacing w:line="276" w:lineRule="auto"/>
              <w:jc w:val="both"/>
              <w:rPr>
                <w:rFonts w:asciiTheme="minorHAnsi" w:hAnsiTheme="minorHAnsi"/>
                <w:color w:val="auto"/>
                <w:sz w:val="22"/>
                <w:szCs w:val="22"/>
              </w:rPr>
            </w:pPr>
            <w:r>
              <w:rPr>
                <w:rFonts w:asciiTheme="minorHAnsi" w:hAnsiTheme="minorHAnsi"/>
                <w:color w:val="auto"/>
                <w:sz w:val="22"/>
                <w:szCs w:val="22"/>
              </w:rPr>
              <w:t>Midday Period</w:t>
            </w:r>
          </w:p>
        </w:tc>
        <w:tc>
          <w:tcPr>
            <w:tcW w:w="3192" w:type="dxa"/>
          </w:tcPr>
          <w:p w:rsidR="00BF4DD9" w:rsidRDefault="00BF4DD9" w:rsidP="003C66C6">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10:00 am – 3:00 pm</w:t>
            </w:r>
          </w:p>
        </w:tc>
        <w:tc>
          <w:tcPr>
            <w:tcW w:w="3192" w:type="dxa"/>
          </w:tcPr>
          <w:p w:rsidR="00BF4DD9" w:rsidRDefault="00BF4DD9" w:rsidP="003C66C6">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5 hours</w:t>
            </w:r>
          </w:p>
        </w:tc>
      </w:tr>
      <w:tr w:rsidR="00BF4DD9" w:rsidTr="00BF4DD9">
        <w:tc>
          <w:tcPr>
            <w:tcW w:w="3192" w:type="dxa"/>
          </w:tcPr>
          <w:p w:rsidR="00BF4DD9" w:rsidRDefault="00BF4DD9" w:rsidP="00BF4DD9">
            <w:pPr>
              <w:pStyle w:val="Default"/>
              <w:numPr>
                <w:ilvl w:val="0"/>
                <w:numId w:val="19"/>
              </w:numPr>
              <w:spacing w:line="276" w:lineRule="auto"/>
              <w:jc w:val="both"/>
              <w:rPr>
                <w:rFonts w:asciiTheme="minorHAnsi" w:hAnsiTheme="minorHAnsi"/>
                <w:color w:val="auto"/>
                <w:sz w:val="22"/>
                <w:szCs w:val="22"/>
              </w:rPr>
            </w:pPr>
            <w:r>
              <w:rPr>
                <w:rFonts w:asciiTheme="minorHAnsi" w:hAnsiTheme="minorHAnsi"/>
                <w:color w:val="auto"/>
                <w:sz w:val="22"/>
                <w:szCs w:val="22"/>
              </w:rPr>
              <w:t>PM Period</w:t>
            </w:r>
          </w:p>
        </w:tc>
        <w:tc>
          <w:tcPr>
            <w:tcW w:w="3192" w:type="dxa"/>
          </w:tcPr>
          <w:p w:rsidR="00BF4DD9" w:rsidRDefault="00BF4DD9" w:rsidP="003C66C6">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3:00 pm – 7:00 pm</w:t>
            </w:r>
          </w:p>
        </w:tc>
        <w:tc>
          <w:tcPr>
            <w:tcW w:w="3192" w:type="dxa"/>
          </w:tcPr>
          <w:p w:rsidR="00BF4DD9" w:rsidRDefault="00BF4DD9" w:rsidP="003C66C6">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4 hours</w:t>
            </w:r>
          </w:p>
        </w:tc>
      </w:tr>
      <w:tr w:rsidR="00BF4DD9" w:rsidTr="00BF4DD9">
        <w:tc>
          <w:tcPr>
            <w:tcW w:w="3192" w:type="dxa"/>
          </w:tcPr>
          <w:p w:rsidR="00BF4DD9" w:rsidRDefault="00BF4DD9" w:rsidP="00BF4DD9">
            <w:pPr>
              <w:pStyle w:val="Default"/>
              <w:numPr>
                <w:ilvl w:val="0"/>
                <w:numId w:val="19"/>
              </w:numPr>
              <w:spacing w:line="276" w:lineRule="auto"/>
              <w:jc w:val="both"/>
              <w:rPr>
                <w:rFonts w:asciiTheme="minorHAnsi" w:hAnsiTheme="minorHAnsi"/>
                <w:color w:val="auto"/>
                <w:sz w:val="22"/>
                <w:szCs w:val="22"/>
              </w:rPr>
            </w:pPr>
            <w:r>
              <w:rPr>
                <w:rFonts w:asciiTheme="minorHAnsi" w:hAnsiTheme="minorHAnsi"/>
                <w:color w:val="auto"/>
                <w:sz w:val="22"/>
                <w:szCs w:val="22"/>
              </w:rPr>
              <w:t>Night Period</w:t>
            </w:r>
          </w:p>
        </w:tc>
        <w:tc>
          <w:tcPr>
            <w:tcW w:w="3192" w:type="dxa"/>
          </w:tcPr>
          <w:p w:rsidR="00BF4DD9" w:rsidRDefault="00BF4DD9" w:rsidP="003C66C6">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7:00 pm – 6:00 am</w:t>
            </w:r>
          </w:p>
        </w:tc>
        <w:tc>
          <w:tcPr>
            <w:tcW w:w="3192" w:type="dxa"/>
          </w:tcPr>
          <w:p w:rsidR="00BF4DD9" w:rsidRDefault="00BF4DD9" w:rsidP="003C66C6">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11 hours</w:t>
            </w:r>
          </w:p>
        </w:tc>
      </w:tr>
    </w:tbl>
    <w:p w:rsidR="00BF4DD9" w:rsidRPr="003C66C6" w:rsidRDefault="00BF4DD9" w:rsidP="003C66C6">
      <w:pPr>
        <w:pStyle w:val="Default"/>
        <w:spacing w:line="276" w:lineRule="auto"/>
        <w:jc w:val="both"/>
        <w:rPr>
          <w:rFonts w:asciiTheme="minorHAnsi" w:hAnsiTheme="minorHAnsi"/>
          <w:color w:val="auto"/>
          <w:sz w:val="22"/>
          <w:szCs w:val="22"/>
        </w:rPr>
      </w:pPr>
    </w:p>
    <w:p w:rsidR="00F32808" w:rsidRPr="003C66C6" w:rsidRDefault="00F32808" w:rsidP="003C66C6">
      <w:pPr>
        <w:pStyle w:val="Default"/>
        <w:spacing w:line="276" w:lineRule="auto"/>
        <w:jc w:val="both"/>
        <w:rPr>
          <w:rFonts w:asciiTheme="minorHAnsi" w:hAnsiTheme="minorHAnsi"/>
          <w:color w:val="auto"/>
          <w:sz w:val="22"/>
          <w:szCs w:val="22"/>
        </w:rPr>
      </w:pPr>
      <w:r w:rsidRPr="003C66C6">
        <w:rPr>
          <w:rFonts w:asciiTheme="minorHAnsi" w:hAnsiTheme="minorHAnsi"/>
          <w:color w:val="auto"/>
          <w:sz w:val="22"/>
          <w:szCs w:val="22"/>
        </w:rPr>
        <w:t>To allocate the VMT by time period from the assignment, the MOVES national factors that stratify VMT by hour and source type were used.  First</w:t>
      </w:r>
      <w:r w:rsidR="00EC1DCD">
        <w:rPr>
          <w:rFonts w:asciiTheme="minorHAnsi" w:hAnsiTheme="minorHAnsi"/>
          <w:color w:val="auto"/>
          <w:sz w:val="22"/>
          <w:szCs w:val="22"/>
        </w:rPr>
        <w:t>,</w:t>
      </w:r>
      <w:r w:rsidRPr="003C66C6">
        <w:rPr>
          <w:rFonts w:asciiTheme="minorHAnsi" w:hAnsiTheme="minorHAnsi"/>
          <w:color w:val="auto"/>
          <w:sz w:val="22"/>
          <w:szCs w:val="22"/>
        </w:rPr>
        <w:t xml:space="preserve"> the hourly shares of the VMT based on the MOVES factors were normalized wit</w:t>
      </w:r>
      <w:r w:rsidR="00EC1DCD">
        <w:rPr>
          <w:rFonts w:asciiTheme="minorHAnsi" w:hAnsiTheme="minorHAnsi"/>
          <w:color w:val="auto"/>
          <w:sz w:val="22"/>
          <w:szCs w:val="22"/>
        </w:rPr>
        <w:t>hin the four time periods.  Next,</w:t>
      </w:r>
      <w:r w:rsidRPr="003C66C6">
        <w:rPr>
          <w:rFonts w:asciiTheme="minorHAnsi" w:hAnsiTheme="minorHAnsi"/>
          <w:color w:val="auto"/>
          <w:sz w:val="22"/>
          <w:szCs w:val="22"/>
        </w:rPr>
        <w:t xml:space="preserve"> the hourly share of each associated time period was calculated and applied to each link to determine the hourly volumes.  The sum of the hourly volumes by time of day matched the time of day volumes from the highway assignments.   The hourly volumes were then processed through the volume/delay curves based on the time of day to estimate hourly speeds and times.</w:t>
      </w:r>
    </w:p>
    <w:p w:rsidR="00F32808" w:rsidRPr="003C66C6" w:rsidRDefault="00F32808" w:rsidP="00815A61">
      <w:pPr>
        <w:pStyle w:val="Heading2"/>
        <w:rPr>
          <w:rFonts w:asciiTheme="minorHAnsi" w:hAnsiTheme="minorHAnsi"/>
          <w:color w:val="auto"/>
          <w:sz w:val="22"/>
          <w:szCs w:val="22"/>
          <w:u w:val="single"/>
        </w:rPr>
      </w:pPr>
      <w:bookmarkStart w:id="31" w:name="_Toc307469377"/>
      <w:bookmarkStart w:id="32" w:name="_Toc307490345"/>
      <w:proofErr w:type="spellStart"/>
      <w:r w:rsidRPr="003C66C6">
        <w:t>Roadtype</w:t>
      </w:r>
      <w:proofErr w:type="spellEnd"/>
      <w:r w:rsidRPr="003C66C6">
        <w:t xml:space="preserve"> Classification</w:t>
      </w:r>
      <w:bookmarkEnd w:id="31"/>
      <w:bookmarkEnd w:id="32"/>
    </w:p>
    <w:p w:rsidR="00F32808" w:rsidRPr="003C66C6" w:rsidRDefault="00F32808" w:rsidP="003C66C6">
      <w:pPr>
        <w:pStyle w:val="Default"/>
        <w:spacing w:line="276" w:lineRule="auto"/>
        <w:jc w:val="both"/>
        <w:rPr>
          <w:rFonts w:asciiTheme="minorHAnsi" w:hAnsiTheme="minorHAnsi"/>
          <w:color w:val="auto"/>
          <w:sz w:val="22"/>
          <w:szCs w:val="22"/>
        </w:rPr>
      </w:pPr>
      <w:r w:rsidRPr="003C66C6">
        <w:rPr>
          <w:rFonts w:asciiTheme="minorHAnsi" w:hAnsiTheme="minorHAnsi"/>
          <w:color w:val="auto"/>
          <w:sz w:val="22"/>
          <w:szCs w:val="22"/>
        </w:rPr>
        <w:t xml:space="preserve">The network link data was also classified by MOVES </w:t>
      </w:r>
      <w:proofErr w:type="spellStart"/>
      <w:r w:rsidRPr="003C66C6">
        <w:rPr>
          <w:rFonts w:asciiTheme="minorHAnsi" w:hAnsiTheme="minorHAnsi"/>
          <w:color w:val="auto"/>
          <w:sz w:val="22"/>
          <w:szCs w:val="22"/>
        </w:rPr>
        <w:t>roadtype</w:t>
      </w:r>
      <w:proofErr w:type="spellEnd"/>
      <w:r w:rsidRPr="003C66C6">
        <w:rPr>
          <w:rFonts w:asciiTheme="minorHAnsi" w:hAnsiTheme="minorHAnsi"/>
          <w:color w:val="auto"/>
          <w:sz w:val="22"/>
          <w:szCs w:val="22"/>
        </w:rPr>
        <w:t xml:space="preserve"> based on functional classification.  The mapping of </w:t>
      </w:r>
      <w:r w:rsidR="001B7434">
        <w:rPr>
          <w:rFonts w:asciiTheme="minorHAnsi" w:hAnsiTheme="minorHAnsi"/>
          <w:color w:val="auto"/>
          <w:sz w:val="22"/>
          <w:szCs w:val="22"/>
        </w:rPr>
        <w:t>Federal Highway Administration (</w:t>
      </w:r>
      <w:r w:rsidRPr="003C66C6">
        <w:rPr>
          <w:rFonts w:asciiTheme="minorHAnsi" w:hAnsiTheme="minorHAnsi"/>
          <w:color w:val="auto"/>
          <w:sz w:val="22"/>
          <w:szCs w:val="22"/>
        </w:rPr>
        <w:t>FHWA</w:t>
      </w:r>
      <w:r w:rsidR="001B7434">
        <w:rPr>
          <w:rFonts w:asciiTheme="minorHAnsi" w:hAnsiTheme="minorHAnsi"/>
          <w:color w:val="auto"/>
          <w:sz w:val="22"/>
          <w:szCs w:val="22"/>
        </w:rPr>
        <w:t>)</w:t>
      </w:r>
      <w:r w:rsidRPr="003C66C6">
        <w:rPr>
          <w:rFonts w:asciiTheme="minorHAnsi" w:hAnsiTheme="minorHAnsi"/>
          <w:color w:val="auto"/>
          <w:sz w:val="22"/>
          <w:szCs w:val="22"/>
        </w:rPr>
        <w:t xml:space="preserve"> highway functional system classifications to the appropriate MOVES </w:t>
      </w:r>
      <w:proofErr w:type="spellStart"/>
      <w:r w:rsidRPr="003C66C6">
        <w:rPr>
          <w:rFonts w:asciiTheme="minorHAnsi" w:hAnsiTheme="minorHAnsi"/>
          <w:color w:val="auto"/>
          <w:sz w:val="22"/>
          <w:szCs w:val="22"/>
        </w:rPr>
        <w:t>roadtypes</w:t>
      </w:r>
      <w:proofErr w:type="spellEnd"/>
      <w:r w:rsidRPr="003C66C6">
        <w:rPr>
          <w:rFonts w:asciiTheme="minorHAnsi" w:hAnsiTheme="minorHAnsi"/>
          <w:color w:val="auto"/>
          <w:sz w:val="22"/>
          <w:szCs w:val="22"/>
        </w:rPr>
        <w:t xml:space="preserve"> used for this modeling is listed in </w:t>
      </w:r>
      <w:r w:rsidRPr="00820EC9">
        <w:rPr>
          <w:rFonts w:asciiTheme="minorHAnsi" w:hAnsiTheme="minorHAnsi"/>
          <w:color w:val="auto"/>
          <w:sz w:val="22"/>
          <w:szCs w:val="22"/>
        </w:rPr>
        <w:t xml:space="preserve">Table </w:t>
      </w:r>
      <w:r w:rsidR="00820EC9" w:rsidRPr="00820EC9">
        <w:rPr>
          <w:rFonts w:asciiTheme="minorHAnsi" w:hAnsiTheme="minorHAnsi"/>
          <w:color w:val="auto"/>
          <w:sz w:val="22"/>
          <w:szCs w:val="22"/>
        </w:rPr>
        <w:t>7</w:t>
      </w:r>
      <w:r w:rsidRPr="003C66C6">
        <w:rPr>
          <w:rFonts w:asciiTheme="minorHAnsi" w:hAnsiTheme="minorHAnsi"/>
          <w:color w:val="auto"/>
          <w:sz w:val="22"/>
          <w:szCs w:val="22"/>
        </w:rPr>
        <w:t>.  Interstate and freeway ramps are functionally classified as local facilities in Georgia.  Since these facilities operate with restricted access, the facility type definition variable (a unique variable in the highway network that defines the highway facilities based on their operation) was used to classify ramps as either rural or urban restricted facilities.  Off-network activity is calculated within the MOVES process based on the source</w:t>
      </w:r>
      <w:r w:rsidR="00EC1DCD">
        <w:rPr>
          <w:rFonts w:asciiTheme="minorHAnsi" w:hAnsiTheme="minorHAnsi"/>
          <w:color w:val="auto"/>
          <w:sz w:val="22"/>
          <w:szCs w:val="22"/>
        </w:rPr>
        <w:t xml:space="preserve"> type</w:t>
      </w:r>
      <w:r w:rsidRPr="003C66C6">
        <w:rPr>
          <w:rFonts w:asciiTheme="minorHAnsi" w:hAnsiTheme="minorHAnsi"/>
          <w:color w:val="auto"/>
          <w:sz w:val="22"/>
          <w:szCs w:val="22"/>
        </w:rPr>
        <w:t xml:space="preserve"> vehicle population and is not an input from the travel demand model data. </w:t>
      </w:r>
    </w:p>
    <w:p w:rsidR="00F32808" w:rsidRDefault="00F32808" w:rsidP="00F32808">
      <w:pPr>
        <w:pStyle w:val="Default"/>
        <w:ind w:right="-90"/>
        <w:jc w:val="both"/>
        <w:rPr>
          <w:color w:val="auto"/>
          <w:sz w:val="23"/>
          <w:szCs w:val="23"/>
        </w:rPr>
      </w:pPr>
    </w:p>
    <w:p w:rsidR="00820EC9" w:rsidRDefault="00820EC9" w:rsidP="00820EC9">
      <w:pPr>
        <w:jc w:val="center"/>
        <w:rPr>
          <w:b/>
          <w:sz w:val="24"/>
          <w:szCs w:val="24"/>
        </w:rPr>
      </w:pPr>
    </w:p>
    <w:p w:rsidR="00820EC9" w:rsidRDefault="00820EC9" w:rsidP="00820EC9">
      <w:pPr>
        <w:jc w:val="center"/>
        <w:rPr>
          <w:b/>
          <w:sz w:val="24"/>
          <w:szCs w:val="24"/>
        </w:rPr>
      </w:pPr>
    </w:p>
    <w:p w:rsidR="00820EC9" w:rsidRDefault="00820EC9" w:rsidP="00820EC9">
      <w:pPr>
        <w:jc w:val="center"/>
        <w:rPr>
          <w:b/>
          <w:sz w:val="24"/>
          <w:szCs w:val="24"/>
        </w:rPr>
      </w:pPr>
    </w:p>
    <w:p w:rsidR="00820EC9" w:rsidRDefault="00820EC9" w:rsidP="00820EC9">
      <w:pPr>
        <w:jc w:val="center"/>
        <w:rPr>
          <w:b/>
          <w:sz w:val="24"/>
          <w:szCs w:val="24"/>
        </w:rPr>
      </w:pPr>
    </w:p>
    <w:p w:rsidR="00820EC9" w:rsidRDefault="00820EC9" w:rsidP="00820EC9">
      <w:pPr>
        <w:jc w:val="center"/>
        <w:rPr>
          <w:b/>
          <w:sz w:val="24"/>
          <w:szCs w:val="24"/>
        </w:rPr>
      </w:pPr>
    </w:p>
    <w:p w:rsidR="00820EC9" w:rsidRDefault="00820EC9" w:rsidP="00820EC9">
      <w:pPr>
        <w:jc w:val="center"/>
        <w:rPr>
          <w:b/>
          <w:sz w:val="24"/>
          <w:szCs w:val="24"/>
        </w:rPr>
      </w:pPr>
    </w:p>
    <w:p w:rsidR="00820EC9" w:rsidRDefault="00820EC9" w:rsidP="00820EC9">
      <w:pPr>
        <w:jc w:val="center"/>
        <w:rPr>
          <w:b/>
          <w:sz w:val="24"/>
          <w:szCs w:val="24"/>
        </w:rPr>
      </w:pPr>
    </w:p>
    <w:p w:rsidR="00820EC9" w:rsidRDefault="00820EC9" w:rsidP="00820EC9">
      <w:pPr>
        <w:jc w:val="center"/>
        <w:rPr>
          <w:b/>
          <w:sz w:val="24"/>
          <w:szCs w:val="24"/>
        </w:rPr>
      </w:pPr>
    </w:p>
    <w:p w:rsidR="00F32808" w:rsidRPr="00820EC9" w:rsidRDefault="00F32808" w:rsidP="00820EC9">
      <w:pPr>
        <w:jc w:val="center"/>
        <w:rPr>
          <w:b/>
          <w:sz w:val="24"/>
          <w:szCs w:val="24"/>
        </w:rPr>
      </w:pPr>
      <w:r w:rsidRPr="00820EC9">
        <w:rPr>
          <w:b/>
          <w:sz w:val="24"/>
          <w:szCs w:val="24"/>
        </w:rPr>
        <w:lastRenderedPageBreak/>
        <w:t xml:space="preserve">Table </w:t>
      </w:r>
      <w:r w:rsidR="00820EC9" w:rsidRPr="00820EC9">
        <w:rPr>
          <w:b/>
          <w:sz w:val="24"/>
          <w:szCs w:val="24"/>
        </w:rPr>
        <w:t>7</w:t>
      </w:r>
      <w:r w:rsidRPr="00820EC9">
        <w:rPr>
          <w:b/>
          <w:sz w:val="24"/>
          <w:szCs w:val="24"/>
        </w:rPr>
        <w:t xml:space="preserve"> – </w:t>
      </w:r>
      <w:r w:rsidR="001B7434" w:rsidRPr="00820EC9">
        <w:rPr>
          <w:b/>
          <w:sz w:val="24"/>
          <w:szCs w:val="24"/>
        </w:rPr>
        <w:t>Listing of</w:t>
      </w:r>
      <w:r w:rsidRPr="00820EC9">
        <w:rPr>
          <w:b/>
          <w:sz w:val="24"/>
          <w:szCs w:val="24"/>
        </w:rPr>
        <w:t xml:space="preserve"> FHWA Highway Functional Classifications Mapped to MOVES Road Types</w:t>
      </w:r>
    </w:p>
    <w:tbl>
      <w:tblPr>
        <w:tblStyle w:val="MediumShading2-Accent11"/>
        <w:tblW w:w="0" w:type="auto"/>
        <w:jc w:val="center"/>
        <w:tblLook w:val="0420"/>
      </w:tblPr>
      <w:tblGrid>
        <w:gridCol w:w="3350"/>
        <w:gridCol w:w="2539"/>
        <w:gridCol w:w="1470"/>
      </w:tblGrid>
      <w:tr w:rsidR="00F77DFA" w:rsidRPr="007A7BE3" w:rsidTr="00F77DFA">
        <w:trPr>
          <w:cnfStyle w:val="100000000000"/>
          <w:trHeight w:val="504"/>
          <w:tblHeader/>
          <w:jc w:val="center"/>
        </w:trPr>
        <w:tc>
          <w:tcPr>
            <w:tcW w:w="0" w:type="auto"/>
            <w:vAlign w:val="center"/>
          </w:tcPr>
          <w:p w:rsidR="00F77DFA" w:rsidRPr="00BF4DD9" w:rsidRDefault="00F77DFA" w:rsidP="00F77DFA">
            <w:pPr>
              <w:jc w:val="center"/>
              <w:rPr>
                <w:rFonts w:cs="Times New Roman"/>
                <w:b w:val="0"/>
              </w:rPr>
            </w:pPr>
            <w:r w:rsidRPr="00BF4DD9">
              <w:rPr>
                <w:rFonts w:cs="Times New Roman"/>
              </w:rPr>
              <w:t>FHWA Highway Functional System</w:t>
            </w:r>
          </w:p>
        </w:tc>
        <w:tc>
          <w:tcPr>
            <w:tcW w:w="0" w:type="auto"/>
            <w:vAlign w:val="center"/>
          </w:tcPr>
          <w:p w:rsidR="00F77DFA" w:rsidRPr="00BF4DD9" w:rsidRDefault="00F77DFA" w:rsidP="00F77DFA">
            <w:pPr>
              <w:jc w:val="center"/>
              <w:rPr>
                <w:rFonts w:cs="Times New Roman"/>
                <w:b w:val="0"/>
              </w:rPr>
            </w:pPr>
            <w:r w:rsidRPr="00BF4DD9">
              <w:rPr>
                <w:rFonts w:cs="Times New Roman"/>
              </w:rPr>
              <w:t>MOVES Road Type</w:t>
            </w:r>
          </w:p>
        </w:tc>
        <w:tc>
          <w:tcPr>
            <w:tcW w:w="0" w:type="auto"/>
            <w:vAlign w:val="center"/>
          </w:tcPr>
          <w:p w:rsidR="00F77DFA" w:rsidRPr="00BF4DD9" w:rsidRDefault="00F77DFA" w:rsidP="00F77DFA">
            <w:pPr>
              <w:jc w:val="center"/>
              <w:rPr>
                <w:rFonts w:cs="Times New Roman"/>
                <w:b w:val="0"/>
              </w:rPr>
            </w:pPr>
            <w:r w:rsidRPr="00BF4DD9">
              <w:rPr>
                <w:rFonts w:cs="Times New Roman"/>
              </w:rPr>
              <w:t>MOVES Value</w:t>
            </w:r>
          </w:p>
        </w:tc>
      </w:tr>
      <w:tr w:rsidR="00F77DFA" w:rsidRPr="007A7BE3" w:rsidTr="00F77DFA">
        <w:trPr>
          <w:cnfStyle w:val="000000100000"/>
          <w:trHeight w:val="300"/>
          <w:jc w:val="center"/>
        </w:trPr>
        <w:tc>
          <w:tcPr>
            <w:tcW w:w="0" w:type="auto"/>
            <w:vAlign w:val="center"/>
          </w:tcPr>
          <w:p w:rsidR="00F77DFA" w:rsidRPr="00BF4DD9" w:rsidRDefault="00F77DFA" w:rsidP="00F77DFA">
            <w:pPr>
              <w:jc w:val="center"/>
              <w:rPr>
                <w:rFonts w:cs="Times New Roman"/>
              </w:rPr>
            </w:pPr>
            <w:r w:rsidRPr="00BF4DD9">
              <w:rPr>
                <w:rFonts w:cs="Times New Roman"/>
              </w:rPr>
              <w:t>Rural interstate</w:t>
            </w:r>
          </w:p>
        </w:tc>
        <w:tc>
          <w:tcPr>
            <w:tcW w:w="0" w:type="auto"/>
            <w:vAlign w:val="center"/>
          </w:tcPr>
          <w:p w:rsidR="00F77DFA" w:rsidRPr="00BF4DD9" w:rsidRDefault="00F77DFA" w:rsidP="00F77DFA">
            <w:pPr>
              <w:jc w:val="center"/>
              <w:rPr>
                <w:rFonts w:cs="Times New Roman"/>
              </w:rPr>
            </w:pPr>
            <w:r w:rsidRPr="00BF4DD9">
              <w:rPr>
                <w:rFonts w:cs="Times New Roman"/>
              </w:rPr>
              <w:t>Rural restricted access</w:t>
            </w:r>
          </w:p>
        </w:tc>
        <w:tc>
          <w:tcPr>
            <w:tcW w:w="0" w:type="auto"/>
            <w:vAlign w:val="center"/>
          </w:tcPr>
          <w:p w:rsidR="00F77DFA" w:rsidRPr="00BF4DD9" w:rsidRDefault="00F77DFA" w:rsidP="00F77DFA">
            <w:pPr>
              <w:jc w:val="center"/>
              <w:rPr>
                <w:rFonts w:cs="Times New Roman"/>
              </w:rPr>
            </w:pPr>
            <w:r w:rsidRPr="00BF4DD9">
              <w:rPr>
                <w:rFonts w:cs="Times New Roman"/>
              </w:rPr>
              <w:t>2</w:t>
            </w:r>
          </w:p>
        </w:tc>
      </w:tr>
      <w:tr w:rsidR="00F77DFA" w:rsidRPr="007A7BE3" w:rsidTr="00F77DFA">
        <w:trPr>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Rural other principal arterial</w:t>
            </w:r>
          </w:p>
        </w:tc>
        <w:tc>
          <w:tcPr>
            <w:tcW w:w="0" w:type="auto"/>
            <w:vAlign w:val="center"/>
          </w:tcPr>
          <w:p w:rsidR="00F77DFA" w:rsidRPr="00BF4DD9" w:rsidRDefault="00F77DFA" w:rsidP="00F77DFA">
            <w:pPr>
              <w:jc w:val="center"/>
              <w:rPr>
                <w:rFonts w:cs="Times New Roman"/>
              </w:rPr>
            </w:pPr>
            <w:r w:rsidRPr="00BF4DD9">
              <w:rPr>
                <w:rFonts w:cs="Times New Roman"/>
              </w:rPr>
              <w:t>Rural restricted access</w:t>
            </w:r>
          </w:p>
        </w:tc>
        <w:tc>
          <w:tcPr>
            <w:tcW w:w="0" w:type="auto"/>
            <w:vAlign w:val="center"/>
          </w:tcPr>
          <w:p w:rsidR="00F77DFA" w:rsidRPr="00BF4DD9" w:rsidRDefault="00F77DFA" w:rsidP="00F77DFA">
            <w:pPr>
              <w:jc w:val="center"/>
              <w:rPr>
                <w:rFonts w:cs="Times New Roman"/>
              </w:rPr>
            </w:pPr>
            <w:r w:rsidRPr="00BF4DD9">
              <w:rPr>
                <w:rFonts w:cs="Times New Roman"/>
              </w:rPr>
              <w:t>2</w:t>
            </w:r>
          </w:p>
        </w:tc>
      </w:tr>
      <w:tr w:rsidR="00F77DFA" w:rsidRPr="007A7BE3" w:rsidTr="00F77DFA">
        <w:trPr>
          <w:cnfStyle w:val="000000100000"/>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Rural minor arterial</w:t>
            </w:r>
          </w:p>
        </w:tc>
        <w:tc>
          <w:tcPr>
            <w:tcW w:w="0" w:type="auto"/>
            <w:vAlign w:val="center"/>
          </w:tcPr>
          <w:p w:rsidR="00F77DFA" w:rsidRPr="00BF4DD9" w:rsidRDefault="00F77DFA" w:rsidP="00F77DFA">
            <w:pPr>
              <w:tabs>
                <w:tab w:val="left" w:pos="2100"/>
              </w:tabs>
              <w:jc w:val="center"/>
              <w:rPr>
                <w:rFonts w:cs="Times New Roman"/>
              </w:rPr>
            </w:pPr>
            <w:r w:rsidRPr="00BF4DD9">
              <w:rPr>
                <w:rFonts w:cs="Times New Roman"/>
              </w:rPr>
              <w:t>Rural unrestricted access</w:t>
            </w:r>
          </w:p>
        </w:tc>
        <w:tc>
          <w:tcPr>
            <w:tcW w:w="0" w:type="auto"/>
            <w:vAlign w:val="center"/>
          </w:tcPr>
          <w:p w:rsidR="00F77DFA" w:rsidRPr="00BF4DD9" w:rsidRDefault="00F77DFA" w:rsidP="00F77DFA">
            <w:pPr>
              <w:tabs>
                <w:tab w:val="left" w:pos="2100"/>
              </w:tabs>
              <w:jc w:val="center"/>
              <w:rPr>
                <w:rFonts w:cs="Times New Roman"/>
              </w:rPr>
            </w:pPr>
            <w:r w:rsidRPr="00BF4DD9">
              <w:rPr>
                <w:rFonts w:cs="Times New Roman"/>
              </w:rPr>
              <w:t>3</w:t>
            </w:r>
          </w:p>
        </w:tc>
      </w:tr>
      <w:tr w:rsidR="00F77DFA" w:rsidRPr="007A7BE3" w:rsidTr="00F77DFA">
        <w:trPr>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Rural major collector</w:t>
            </w:r>
          </w:p>
        </w:tc>
        <w:tc>
          <w:tcPr>
            <w:tcW w:w="0" w:type="auto"/>
            <w:vAlign w:val="center"/>
          </w:tcPr>
          <w:p w:rsidR="00F77DFA" w:rsidRPr="00BF4DD9" w:rsidRDefault="00F77DFA" w:rsidP="00F77DFA">
            <w:pPr>
              <w:tabs>
                <w:tab w:val="left" w:pos="2100"/>
              </w:tabs>
              <w:jc w:val="center"/>
              <w:rPr>
                <w:rFonts w:cs="Times New Roman"/>
              </w:rPr>
            </w:pPr>
            <w:r w:rsidRPr="00BF4DD9">
              <w:rPr>
                <w:rFonts w:cs="Times New Roman"/>
              </w:rPr>
              <w:t>Rural unrestricted access</w:t>
            </w:r>
          </w:p>
        </w:tc>
        <w:tc>
          <w:tcPr>
            <w:tcW w:w="0" w:type="auto"/>
            <w:vAlign w:val="center"/>
          </w:tcPr>
          <w:p w:rsidR="00F77DFA" w:rsidRPr="00BF4DD9" w:rsidRDefault="00F77DFA" w:rsidP="00F77DFA">
            <w:pPr>
              <w:jc w:val="center"/>
              <w:rPr>
                <w:rFonts w:cs="Times New Roman"/>
              </w:rPr>
            </w:pPr>
            <w:r w:rsidRPr="00BF4DD9">
              <w:rPr>
                <w:rFonts w:cs="Times New Roman"/>
              </w:rPr>
              <w:t>3</w:t>
            </w:r>
          </w:p>
        </w:tc>
      </w:tr>
      <w:tr w:rsidR="00F77DFA" w:rsidRPr="007A7BE3" w:rsidTr="00F77DFA">
        <w:trPr>
          <w:cnfStyle w:val="000000100000"/>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Rural minor collector</w:t>
            </w:r>
          </w:p>
        </w:tc>
        <w:tc>
          <w:tcPr>
            <w:tcW w:w="0" w:type="auto"/>
            <w:vAlign w:val="center"/>
          </w:tcPr>
          <w:p w:rsidR="00F77DFA" w:rsidRPr="00BF4DD9" w:rsidRDefault="00F77DFA" w:rsidP="00F77DFA">
            <w:pPr>
              <w:tabs>
                <w:tab w:val="left" w:pos="2100"/>
              </w:tabs>
              <w:jc w:val="center"/>
              <w:rPr>
                <w:rFonts w:cs="Times New Roman"/>
              </w:rPr>
            </w:pPr>
            <w:r w:rsidRPr="00BF4DD9">
              <w:rPr>
                <w:rFonts w:cs="Times New Roman"/>
              </w:rPr>
              <w:t>Rural unrestricted access</w:t>
            </w:r>
          </w:p>
        </w:tc>
        <w:tc>
          <w:tcPr>
            <w:tcW w:w="0" w:type="auto"/>
            <w:vAlign w:val="center"/>
          </w:tcPr>
          <w:p w:rsidR="00F77DFA" w:rsidRPr="00BF4DD9" w:rsidRDefault="00F77DFA" w:rsidP="00F77DFA">
            <w:pPr>
              <w:jc w:val="center"/>
              <w:rPr>
                <w:rFonts w:cs="Times New Roman"/>
              </w:rPr>
            </w:pPr>
            <w:r w:rsidRPr="00BF4DD9">
              <w:rPr>
                <w:rFonts w:cs="Times New Roman"/>
              </w:rPr>
              <w:t>3</w:t>
            </w:r>
          </w:p>
        </w:tc>
      </w:tr>
      <w:tr w:rsidR="00F77DFA" w:rsidRPr="007A7BE3" w:rsidTr="00F77DFA">
        <w:trPr>
          <w:trHeight w:val="505"/>
          <w:jc w:val="center"/>
        </w:trPr>
        <w:tc>
          <w:tcPr>
            <w:tcW w:w="0" w:type="auto"/>
            <w:vAlign w:val="center"/>
          </w:tcPr>
          <w:p w:rsidR="00F77DFA" w:rsidRPr="00BF4DD9" w:rsidRDefault="00F77DFA" w:rsidP="00F77DFA">
            <w:pPr>
              <w:jc w:val="center"/>
              <w:rPr>
                <w:rFonts w:cs="Times New Roman"/>
              </w:rPr>
            </w:pPr>
            <w:r w:rsidRPr="00BF4DD9">
              <w:rPr>
                <w:rFonts w:cs="Times New Roman"/>
              </w:rPr>
              <w:t>Rural local</w:t>
            </w:r>
          </w:p>
        </w:tc>
        <w:tc>
          <w:tcPr>
            <w:tcW w:w="0" w:type="auto"/>
            <w:vAlign w:val="center"/>
          </w:tcPr>
          <w:p w:rsidR="00F77DFA" w:rsidRPr="00BF4DD9" w:rsidRDefault="00F77DFA" w:rsidP="00F77DFA">
            <w:pPr>
              <w:tabs>
                <w:tab w:val="left" w:pos="2100"/>
              </w:tabs>
              <w:jc w:val="center"/>
              <w:rPr>
                <w:rFonts w:cs="Times New Roman"/>
              </w:rPr>
            </w:pPr>
            <w:r w:rsidRPr="00BF4DD9">
              <w:rPr>
                <w:rFonts w:cs="Times New Roman"/>
              </w:rPr>
              <w:t>Rural unrestricted access</w:t>
            </w:r>
          </w:p>
        </w:tc>
        <w:tc>
          <w:tcPr>
            <w:tcW w:w="0" w:type="auto"/>
            <w:vAlign w:val="center"/>
          </w:tcPr>
          <w:p w:rsidR="00F77DFA" w:rsidRPr="00BF4DD9" w:rsidRDefault="00F77DFA" w:rsidP="00F77DFA">
            <w:pPr>
              <w:jc w:val="center"/>
              <w:rPr>
                <w:rFonts w:cs="Times New Roman"/>
              </w:rPr>
            </w:pPr>
            <w:r w:rsidRPr="00BF4DD9">
              <w:rPr>
                <w:rFonts w:cs="Times New Roman"/>
              </w:rPr>
              <w:t>3</w:t>
            </w:r>
          </w:p>
        </w:tc>
      </w:tr>
      <w:tr w:rsidR="00F77DFA" w:rsidRPr="007A7BE3" w:rsidTr="00F77DFA">
        <w:trPr>
          <w:cnfStyle w:val="000000100000"/>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Urban interstate</w:t>
            </w:r>
          </w:p>
        </w:tc>
        <w:tc>
          <w:tcPr>
            <w:tcW w:w="0" w:type="auto"/>
            <w:vAlign w:val="center"/>
          </w:tcPr>
          <w:p w:rsidR="00F77DFA" w:rsidRPr="00BF4DD9" w:rsidRDefault="00F77DFA" w:rsidP="00F77DFA">
            <w:pPr>
              <w:jc w:val="center"/>
              <w:rPr>
                <w:rFonts w:cs="Times New Roman"/>
              </w:rPr>
            </w:pPr>
            <w:r w:rsidRPr="00BF4DD9">
              <w:rPr>
                <w:rFonts w:cs="Times New Roman"/>
              </w:rPr>
              <w:t>Urban restricted access</w:t>
            </w:r>
          </w:p>
        </w:tc>
        <w:tc>
          <w:tcPr>
            <w:tcW w:w="0" w:type="auto"/>
            <w:vAlign w:val="center"/>
          </w:tcPr>
          <w:p w:rsidR="00F77DFA" w:rsidRPr="00BF4DD9" w:rsidRDefault="00F77DFA" w:rsidP="00F77DFA">
            <w:pPr>
              <w:jc w:val="center"/>
              <w:rPr>
                <w:rFonts w:cs="Times New Roman"/>
              </w:rPr>
            </w:pPr>
            <w:r w:rsidRPr="00BF4DD9">
              <w:rPr>
                <w:rFonts w:cs="Times New Roman"/>
              </w:rPr>
              <w:t>4</w:t>
            </w:r>
          </w:p>
        </w:tc>
      </w:tr>
      <w:tr w:rsidR="00F77DFA" w:rsidRPr="007A7BE3" w:rsidTr="00F77DFA">
        <w:trPr>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Urban other freeways</w:t>
            </w:r>
          </w:p>
        </w:tc>
        <w:tc>
          <w:tcPr>
            <w:tcW w:w="0" w:type="auto"/>
            <w:vAlign w:val="center"/>
          </w:tcPr>
          <w:p w:rsidR="00F77DFA" w:rsidRPr="00BF4DD9" w:rsidRDefault="00F77DFA" w:rsidP="00F77DFA">
            <w:pPr>
              <w:jc w:val="center"/>
              <w:rPr>
                <w:rFonts w:cs="Times New Roman"/>
              </w:rPr>
            </w:pPr>
            <w:r w:rsidRPr="00BF4DD9">
              <w:rPr>
                <w:rFonts w:cs="Times New Roman"/>
              </w:rPr>
              <w:t>Urban restricted access</w:t>
            </w:r>
          </w:p>
        </w:tc>
        <w:tc>
          <w:tcPr>
            <w:tcW w:w="0" w:type="auto"/>
            <w:vAlign w:val="center"/>
          </w:tcPr>
          <w:p w:rsidR="00F77DFA" w:rsidRPr="00BF4DD9" w:rsidRDefault="00F77DFA" w:rsidP="00F77DFA">
            <w:pPr>
              <w:jc w:val="center"/>
              <w:rPr>
                <w:rFonts w:cs="Times New Roman"/>
              </w:rPr>
            </w:pPr>
            <w:r w:rsidRPr="00BF4DD9">
              <w:rPr>
                <w:rFonts w:cs="Times New Roman"/>
              </w:rPr>
              <w:t>4</w:t>
            </w:r>
          </w:p>
        </w:tc>
      </w:tr>
      <w:tr w:rsidR="00F77DFA" w:rsidRPr="007A7BE3" w:rsidTr="00F77DFA">
        <w:trPr>
          <w:cnfStyle w:val="000000100000"/>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Urban other principal arterial</w:t>
            </w:r>
          </w:p>
        </w:tc>
        <w:tc>
          <w:tcPr>
            <w:tcW w:w="0" w:type="auto"/>
            <w:vAlign w:val="center"/>
          </w:tcPr>
          <w:p w:rsidR="00F77DFA" w:rsidRPr="00BF4DD9" w:rsidRDefault="00F77DFA" w:rsidP="00F77DFA">
            <w:pPr>
              <w:tabs>
                <w:tab w:val="left" w:pos="2100"/>
              </w:tabs>
              <w:jc w:val="center"/>
              <w:rPr>
                <w:rFonts w:cs="Times New Roman"/>
              </w:rPr>
            </w:pPr>
            <w:r w:rsidRPr="00BF4DD9">
              <w:rPr>
                <w:rFonts w:cs="Times New Roman"/>
              </w:rPr>
              <w:t>Urban unrestricted access</w:t>
            </w:r>
          </w:p>
        </w:tc>
        <w:tc>
          <w:tcPr>
            <w:tcW w:w="0" w:type="auto"/>
            <w:vAlign w:val="center"/>
          </w:tcPr>
          <w:p w:rsidR="00F77DFA" w:rsidRPr="00BF4DD9" w:rsidRDefault="00F77DFA" w:rsidP="00F77DFA">
            <w:pPr>
              <w:tabs>
                <w:tab w:val="left" w:pos="2100"/>
              </w:tabs>
              <w:jc w:val="center"/>
              <w:rPr>
                <w:rFonts w:cs="Times New Roman"/>
              </w:rPr>
            </w:pPr>
            <w:r w:rsidRPr="00BF4DD9">
              <w:rPr>
                <w:rFonts w:cs="Times New Roman"/>
              </w:rPr>
              <w:t>5</w:t>
            </w:r>
          </w:p>
        </w:tc>
      </w:tr>
      <w:tr w:rsidR="00F77DFA" w:rsidRPr="007A7BE3" w:rsidTr="00F77DFA">
        <w:trPr>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Urban minor arterial</w:t>
            </w:r>
          </w:p>
        </w:tc>
        <w:tc>
          <w:tcPr>
            <w:tcW w:w="0" w:type="auto"/>
            <w:vAlign w:val="center"/>
          </w:tcPr>
          <w:p w:rsidR="00F77DFA" w:rsidRPr="00BF4DD9" w:rsidRDefault="00F77DFA" w:rsidP="00F77DFA">
            <w:pPr>
              <w:jc w:val="center"/>
              <w:rPr>
                <w:rFonts w:cs="Times New Roman"/>
              </w:rPr>
            </w:pPr>
            <w:r w:rsidRPr="00BF4DD9">
              <w:rPr>
                <w:rFonts w:cs="Times New Roman"/>
              </w:rPr>
              <w:t>Urban unrestricted access</w:t>
            </w:r>
          </w:p>
        </w:tc>
        <w:tc>
          <w:tcPr>
            <w:tcW w:w="0" w:type="auto"/>
            <w:vAlign w:val="center"/>
          </w:tcPr>
          <w:p w:rsidR="00F77DFA" w:rsidRPr="00BF4DD9" w:rsidRDefault="00F77DFA" w:rsidP="00F77DFA">
            <w:pPr>
              <w:jc w:val="center"/>
              <w:rPr>
                <w:rFonts w:cs="Times New Roman"/>
              </w:rPr>
            </w:pPr>
            <w:r w:rsidRPr="00BF4DD9">
              <w:rPr>
                <w:rFonts w:cs="Times New Roman"/>
              </w:rPr>
              <w:t>5</w:t>
            </w:r>
          </w:p>
        </w:tc>
      </w:tr>
      <w:tr w:rsidR="00F77DFA" w:rsidRPr="007A7BE3" w:rsidTr="00F77DFA">
        <w:trPr>
          <w:cnfStyle w:val="000000100000"/>
          <w:trHeight w:val="504"/>
          <w:jc w:val="center"/>
        </w:trPr>
        <w:tc>
          <w:tcPr>
            <w:tcW w:w="0" w:type="auto"/>
            <w:vAlign w:val="center"/>
          </w:tcPr>
          <w:p w:rsidR="00F77DFA" w:rsidRPr="00BF4DD9" w:rsidRDefault="00F77DFA" w:rsidP="00F77DFA">
            <w:pPr>
              <w:jc w:val="center"/>
              <w:rPr>
                <w:rFonts w:cs="Times New Roman"/>
              </w:rPr>
            </w:pPr>
            <w:r w:rsidRPr="00BF4DD9">
              <w:rPr>
                <w:rFonts w:cs="Times New Roman"/>
              </w:rPr>
              <w:t>Urban collector</w:t>
            </w:r>
          </w:p>
        </w:tc>
        <w:tc>
          <w:tcPr>
            <w:tcW w:w="0" w:type="auto"/>
            <w:vAlign w:val="center"/>
          </w:tcPr>
          <w:p w:rsidR="00F77DFA" w:rsidRPr="00BF4DD9" w:rsidRDefault="00F77DFA" w:rsidP="00F77DFA">
            <w:pPr>
              <w:jc w:val="center"/>
              <w:rPr>
                <w:rFonts w:cs="Times New Roman"/>
              </w:rPr>
            </w:pPr>
            <w:r w:rsidRPr="00BF4DD9">
              <w:rPr>
                <w:rFonts w:cs="Times New Roman"/>
              </w:rPr>
              <w:t>Urban unrestricted access</w:t>
            </w:r>
          </w:p>
        </w:tc>
        <w:tc>
          <w:tcPr>
            <w:tcW w:w="0" w:type="auto"/>
            <w:vAlign w:val="center"/>
          </w:tcPr>
          <w:p w:rsidR="00F77DFA" w:rsidRPr="00BF4DD9" w:rsidRDefault="00F77DFA" w:rsidP="00F77DFA">
            <w:pPr>
              <w:jc w:val="center"/>
              <w:rPr>
                <w:rFonts w:cs="Times New Roman"/>
              </w:rPr>
            </w:pPr>
            <w:r w:rsidRPr="00BF4DD9">
              <w:rPr>
                <w:rFonts w:cs="Times New Roman"/>
              </w:rPr>
              <w:t>5</w:t>
            </w:r>
          </w:p>
        </w:tc>
      </w:tr>
      <w:tr w:rsidR="00F77DFA" w:rsidRPr="007A7BE3" w:rsidTr="00F77DFA">
        <w:trPr>
          <w:trHeight w:val="505"/>
          <w:jc w:val="center"/>
        </w:trPr>
        <w:tc>
          <w:tcPr>
            <w:tcW w:w="0" w:type="auto"/>
            <w:vAlign w:val="center"/>
          </w:tcPr>
          <w:p w:rsidR="00F77DFA" w:rsidRPr="00BF4DD9" w:rsidRDefault="00F77DFA" w:rsidP="00F77DFA">
            <w:pPr>
              <w:jc w:val="center"/>
              <w:rPr>
                <w:rFonts w:cs="Times New Roman"/>
              </w:rPr>
            </w:pPr>
            <w:r w:rsidRPr="00BF4DD9">
              <w:rPr>
                <w:rFonts w:cs="Times New Roman"/>
              </w:rPr>
              <w:t>Urban local</w:t>
            </w:r>
          </w:p>
        </w:tc>
        <w:tc>
          <w:tcPr>
            <w:tcW w:w="0" w:type="auto"/>
            <w:vAlign w:val="center"/>
          </w:tcPr>
          <w:p w:rsidR="00F77DFA" w:rsidRPr="00BF4DD9" w:rsidRDefault="00F77DFA" w:rsidP="00F77DFA">
            <w:pPr>
              <w:jc w:val="center"/>
              <w:rPr>
                <w:rFonts w:cs="Times New Roman"/>
              </w:rPr>
            </w:pPr>
            <w:r w:rsidRPr="00BF4DD9">
              <w:rPr>
                <w:rFonts w:cs="Times New Roman"/>
              </w:rPr>
              <w:t>Urban unrestricted access</w:t>
            </w:r>
          </w:p>
        </w:tc>
        <w:tc>
          <w:tcPr>
            <w:tcW w:w="0" w:type="auto"/>
            <w:vAlign w:val="center"/>
          </w:tcPr>
          <w:p w:rsidR="00F77DFA" w:rsidRPr="00BF4DD9" w:rsidRDefault="00F77DFA" w:rsidP="00F77DFA">
            <w:pPr>
              <w:jc w:val="center"/>
              <w:rPr>
                <w:rFonts w:cs="Times New Roman"/>
              </w:rPr>
            </w:pPr>
            <w:r w:rsidRPr="00BF4DD9">
              <w:rPr>
                <w:rFonts w:cs="Times New Roman"/>
              </w:rPr>
              <w:t>5</w:t>
            </w:r>
          </w:p>
        </w:tc>
      </w:tr>
    </w:tbl>
    <w:p w:rsidR="00F77DFA" w:rsidRDefault="00F77DFA" w:rsidP="004F376D">
      <w:pPr>
        <w:jc w:val="both"/>
        <w:rPr>
          <w:b/>
        </w:rPr>
        <w:sectPr w:rsidR="00F77DFA" w:rsidSect="008C617D">
          <w:footerReference w:type="default" r:id="rId9"/>
          <w:pgSz w:w="12240" w:h="15840" w:code="1"/>
          <w:pgMar w:top="1440" w:right="1440" w:bottom="1440" w:left="1440" w:header="720" w:footer="720" w:gutter="0"/>
          <w:pgNumType w:start="0"/>
          <w:cols w:space="720"/>
          <w:titlePg/>
          <w:docGrid w:linePitch="360"/>
        </w:sectPr>
      </w:pPr>
    </w:p>
    <w:p w:rsidR="009869FC" w:rsidRDefault="00F77DFA" w:rsidP="00815A61">
      <w:pPr>
        <w:pStyle w:val="Heading1"/>
        <w:spacing w:after="200"/>
      </w:pPr>
      <w:bookmarkStart w:id="33" w:name="_Toc307469378"/>
      <w:bookmarkStart w:id="34" w:name="_Toc307490346"/>
      <w:r>
        <w:lastRenderedPageBreak/>
        <w:t>M</w:t>
      </w:r>
      <w:r w:rsidR="009869FC">
        <w:t>OVES County Data Manger Input Files</w:t>
      </w:r>
      <w:bookmarkEnd w:id="33"/>
      <w:bookmarkEnd w:id="34"/>
    </w:p>
    <w:p w:rsidR="00820EC9" w:rsidRDefault="003E4D4C" w:rsidP="00815A61">
      <w:pPr>
        <w:jc w:val="both"/>
      </w:pPr>
      <w:r>
        <w:t>The MOVES County Data Manager serves as the user interface to input locally derived data for an emissions analysis.  Local data are derived using a variety of modeled and available sources</w:t>
      </w:r>
      <w:r w:rsidR="00FD41E9">
        <w:t xml:space="preserve">.  </w:t>
      </w:r>
      <w:r w:rsidR="00FD41E9" w:rsidRPr="00820EC9">
        <w:t xml:space="preserve">Table </w:t>
      </w:r>
      <w:r w:rsidR="00820EC9" w:rsidRPr="00820EC9">
        <w:t>8</w:t>
      </w:r>
      <w:r w:rsidR="00FD41E9">
        <w:t xml:space="preserve"> outlines the range of local data incorporated into the MOVES model.  An explanation of how these data are developed follows.</w:t>
      </w:r>
      <w:r w:rsidR="00454736">
        <w:t xml:space="preserve">  In addition, Exhibit 3 provides a sample set of MOVES inputs used by ARC to develop the Maintenance Plan </w:t>
      </w:r>
      <w:r w:rsidR="00561ACC">
        <w:t>mobile source inventory</w:t>
      </w:r>
      <w:r w:rsidR="00454736">
        <w:t>.</w:t>
      </w:r>
    </w:p>
    <w:p w:rsidR="003E4D4C" w:rsidRPr="00820EC9" w:rsidRDefault="003E4D4C" w:rsidP="00820EC9">
      <w:pPr>
        <w:jc w:val="center"/>
        <w:rPr>
          <w:b/>
          <w:sz w:val="24"/>
          <w:szCs w:val="24"/>
        </w:rPr>
      </w:pPr>
      <w:r w:rsidRPr="00820EC9">
        <w:rPr>
          <w:b/>
          <w:sz w:val="24"/>
          <w:szCs w:val="24"/>
        </w:rPr>
        <w:t xml:space="preserve">Table </w:t>
      </w:r>
      <w:r w:rsidR="00820EC9">
        <w:rPr>
          <w:b/>
          <w:sz w:val="24"/>
          <w:szCs w:val="24"/>
        </w:rPr>
        <w:t>8</w:t>
      </w:r>
      <w:r w:rsidRPr="00820EC9">
        <w:rPr>
          <w:b/>
          <w:sz w:val="24"/>
          <w:szCs w:val="24"/>
        </w:rPr>
        <w:t xml:space="preserve"> – County Data Manager Worksheets</w:t>
      </w:r>
    </w:p>
    <w:tbl>
      <w:tblPr>
        <w:tblStyle w:val="MediumShading2-Accent11"/>
        <w:tblW w:w="0" w:type="auto"/>
        <w:jc w:val="center"/>
        <w:tblLook w:val="0420"/>
      </w:tblPr>
      <w:tblGrid>
        <w:gridCol w:w="2759"/>
        <w:gridCol w:w="2645"/>
      </w:tblGrid>
      <w:tr w:rsidR="00060BAD" w:rsidTr="003E4D4C">
        <w:trPr>
          <w:cnfStyle w:val="100000000000"/>
          <w:jc w:val="center"/>
        </w:trPr>
        <w:tc>
          <w:tcPr>
            <w:tcW w:w="0" w:type="auto"/>
            <w:tcBorders>
              <w:right w:val="single" w:sz="8" w:space="0" w:color="FFFFFF" w:themeColor="background1"/>
            </w:tcBorders>
            <w:vAlign w:val="center"/>
          </w:tcPr>
          <w:p w:rsidR="00060BAD" w:rsidRDefault="003E4D4C" w:rsidP="003E4D4C">
            <w:pPr>
              <w:jc w:val="center"/>
            </w:pPr>
            <w:r>
              <w:t>County Data Manager Input</w:t>
            </w:r>
          </w:p>
        </w:tc>
        <w:tc>
          <w:tcPr>
            <w:tcW w:w="0" w:type="auto"/>
            <w:tcBorders>
              <w:left w:val="single" w:sz="8" w:space="0" w:color="FFFFFF" w:themeColor="background1"/>
            </w:tcBorders>
            <w:vAlign w:val="center"/>
          </w:tcPr>
          <w:p w:rsidR="00060BAD" w:rsidRDefault="003E4D4C" w:rsidP="003E4D4C">
            <w:pPr>
              <w:jc w:val="center"/>
            </w:pPr>
            <w:r>
              <w:t>Worksheet Name</w:t>
            </w:r>
          </w:p>
        </w:tc>
      </w:tr>
      <w:tr w:rsidR="00060BAD" w:rsidTr="003E4D4C">
        <w:trPr>
          <w:cnfStyle w:val="000000100000"/>
          <w:jc w:val="center"/>
        </w:trPr>
        <w:tc>
          <w:tcPr>
            <w:tcW w:w="0" w:type="auto"/>
            <w:tcBorders>
              <w:right w:val="single" w:sz="8" w:space="0" w:color="FFFFFF" w:themeColor="background1"/>
            </w:tcBorders>
            <w:vAlign w:val="center"/>
          </w:tcPr>
          <w:p w:rsidR="00060BAD" w:rsidRDefault="003E4D4C" w:rsidP="003E4D4C">
            <w:pPr>
              <w:jc w:val="center"/>
            </w:pPr>
            <w:r>
              <w:t>Age Distribution</w:t>
            </w:r>
          </w:p>
        </w:tc>
        <w:tc>
          <w:tcPr>
            <w:tcW w:w="0" w:type="auto"/>
            <w:tcBorders>
              <w:left w:val="single" w:sz="8" w:space="0" w:color="FFFFFF" w:themeColor="background1"/>
            </w:tcBorders>
            <w:vAlign w:val="center"/>
          </w:tcPr>
          <w:p w:rsidR="00060BAD" w:rsidRDefault="003E4D4C" w:rsidP="003E4D4C">
            <w:pPr>
              <w:jc w:val="center"/>
            </w:pPr>
            <w:proofErr w:type="spellStart"/>
            <w:r>
              <w:t>sourceTypeAgeDistribution</w:t>
            </w:r>
            <w:proofErr w:type="spellEnd"/>
          </w:p>
        </w:tc>
      </w:tr>
      <w:tr w:rsidR="00060BAD" w:rsidTr="003E4D4C">
        <w:trPr>
          <w:jc w:val="center"/>
        </w:trPr>
        <w:tc>
          <w:tcPr>
            <w:tcW w:w="0" w:type="auto"/>
            <w:tcBorders>
              <w:right w:val="single" w:sz="8" w:space="0" w:color="FFFFFF" w:themeColor="background1"/>
            </w:tcBorders>
            <w:vAlign w:val="center"/>
          </w:tcPr>
          <w:p w:rsidR="00060BAD" w:rsidRDefault="003E4D4C" w:rsidP="003E4D4C">
            <w:pPr>
              <w:jc w:val="center"/>
            </w:pPr>
            <w:r>
              <w:t>Average Speed Distribution</w:t>
            </w:r>
          </w:p>
        </w:tc>
        <w:tc>
          <w:tcPr>
            <w:tcW w:w="0" w:type="auto"/>
            <w:tcBorders>
              <w:left w:val="single" w:sz="8" w:space="0" w:color="FFFFFF" w:themeColor="background1"/>
            </w:tcBorders>
            <w:vAlign w:val="center"/>
          </w:tcPr>
          <w:p w:rsidR="00060BAD" w:rsidRDefault="003E4D4C" w:rsidP="003E4D4C">
            <w:pPr>
              <w:jc w:val="center"/>
            </w:pPr>
            <w:proofErr w:type="spellStart"/>
            <w:r>
              <w:t>avgSpeedDistribution</w:t>
            </w:r>
            <w:proofErr w:type="spellEnd"/>
          </w:p>
        </w:tc>
      </w:tr>
      <w:tr w:rsidR="003E4D4C" w:rsidTr="003E4D4C">
        <w:trPr>
          <w:cnfStyle w:val="000000100000"/>
          <w:jc w:val="center"/>
        </w:trPr>
        <w:tc>
          <w:tcPr>
            <w:tcW w:w="0" w:type="auto"/>
            <w:vMerge w:val="restart"/>
            <w:tcBorders>
              <w:right w:val="single" w:sz="8" w:space="0" w:color="FFFFFF" w:themeColor="background1"/>
            </w:tcBorders>
            <w:vAlign w:val="center"/>
          </w:tcPr>
          <w:p w:rsidR="003E4D4C" w:rsidRDefault="003E4D4C" w:rsidP="003E4D4C">
            <w:pPr>
              <w:jc w:val="center"/>
            </w:pPr>
            <w:r>
              <w:t>Fuel</w:t>
            </w:r>
          </w:p>
        </w:tc>
        <w:tc>
          <w:tcPr>
            <w:tcW w:w="0" w:type="auto"/>
            <w:tcBorders>
              <w:left w:val="single" w:sz="8" w:space="0" w:color="FFFFFF" w:themeColor="background1"/>
            </w:tcBorders>
            <w:vAlign w:val="center"/>
          </w:tcPr>
          <w:p w:rsidR="003E4D4C" w:rsidRDefault="003E4D4C" w:rsidP="003E4D4C">
            <w:pPr>
              <w:jc w:val="center"/>
            </w:pPr>
            <w:proofErr w:type="spellStart"/>
            <w:r>
              <w:t>FuelSupply</w:t>
            </w:r>
            <w:proofErr w:type="spellEnd"/>
          </w:p>
        </w:tc>
      </w:tr>
      <w:tr w:rsidR="003E4D4C" w:rsidTr="003E4D4C">
        <w:trPr>
          <w:jc w:val="center"/>
        </w:trPr>
        <w:tc>
          <w:tcPr>
            <w:tcW w:w="0" w:type="auto"/>
            <w:vMerge/>
            <w:tcBorders>
              <w:bottom w:val="single" w:sz="8" w:space="0" w:color="FFFFFF" w:themeColor="background1"/>
              <w:right w:val="single" w:sz="8" w:space="0" w:color="FFFFFF" w:themeColor="background1"/>
            </w:tcBorders>
            <w:vAlign w:val="center"/>
          </w:tcPr>
          <w:p w:rsidR="003E4D4C" w:rsidRDefault="003E4D4C" w:rsidP="003E4D4C">
            <w:pPr>
              <w:jc w:val="center"/>
            </w:pPr>
          </w:p>
        </w:tc>
        <w:tc>
          <w:tcPr>
            <w:tcW w:w="0" w:type="auto"/>
            <w:tcBorders>
              <w:left w:val="single" w:sz="8" w:space="0" w:color="FFFFFF" w:themeColor="background1"/>
            </w:tcBorders>
            <w:vAlign w:val="center"/>
          </w:tcPr>
          <w:p w:rsidR="003E4D4C" w:rsidRDefault="003E4D4C" w:rsidP="00E77F72">
            <w:pPr>
              <w:jc w:val="center"/>
            </w:pPr>
            <w:proofErr w:type="spellStart"/>
            <w:r>
              <w:t>FuelFormulation</w:t>
            </w:r>
            <w:proofErr w:type="spellEnd"/>
          </w:p>
        </w:tc>
      </w:tr>
      <w:tr w:rsidR="003E4D4C" w:rsidTr="003E4D4C">
        <w:trPr>
          <w:cnfStyle w:val="000000100000"/>
          <w:jc w:val="center"/>
        </w:trPr>
        <w:tc>
          <w:tcPr>
            <w:tcW w:w="0" w:type="auto"/>
            <w:tcBorders>
              <w:top w:val="single" w:sz="8" w:space="0" w:color="FFFFFF" w:themeColor="background1"/>
              <w:right w:val="single" w:sz="8" w:space="0" w:color="FFFFFF" w:themeColor="background1"/>
            </w:tcBorders>
            <w:vAlign w:val="center"/>
          </w:tcPr>
          <w:p w:rsidR="003E4D4C" w:rsidRDefault="003E4D4C" w:rsidP="003E4D4C">
            <w:pPr>
              <w:jc w:val="center"/>
            </w:pPr>
            <w:r>
              <w:t>I/M Programs</w:t>
            </w:r>
          </w:p>
        </w:tc>
        <w:tc>
          <w:tcPr>
            <w:tcW w:w="0" w:type="auto"/>
            <w:tcBorders>
              <w:left w:val="single" w:sz="8" w:space="0" w:color="FFFFFF" w:themeColor="background1"/>
            </w:tcBorders>
            <w:vAlign w:val="center"/>
          </w:tcPr>
          <w:p w:rsidR="003E4D4C" w:rsidRDefault="003E4D4C" w:rsidP="003E4D4C">
            <w:pPr>
              <w:jc w:val="center"/>
            </w:pPr>
            <w:proofErr w:type="spellStart"/>
            <w:r>
              <w:t>IMCoverage</w:t>
            </w:r>
            <w:proofErr w:type="spellEnd"/>
          </w:p>
        </w:tc>
      </w:tr>
      <w:tr w:rsidR="00060BAD" w:rsidTr="003E4D4C">
        <w:trPr>
          <w:jc w:val="center"/>
        </w:trPr>
        <w:tc>
          <w:tcPr>
            <w:tcW w:w="0" w:type="auto"/>
            <w:tcBorders>
              <w:right w:val="single" w:sz="8" w:space="0" w:color="FFFFFF" w:themeColor="background1"/>
            </w:tcBorders>
            <w:vAlign w:val="center"/>
          </w:tcPr>
          <w:p w:rsidR="00060BAD" w:rsidRDefault="003E4D4C" w:rsidP="003E4D4C">
            <w:pPr>
              <w:jc w:val="center"/>
            </w:pPr>
            <w:r>
              <w:t>Meteorology</w:t>
            </w:r>
          </w:p>
        </w:tc>
        <w:tc>
          <w:tcPr>
            <w:tcW w:w="0" w:type="auto"/>
            <w:tcBorders>
              <w:left w:val="single" w:sz="8" w:space="0" w:color="FFFFFF" w:themeColor="background1"/>
            </w:tcBorders>
            <w:vAlign w:val="center"/>
          </w:tcPr>
          <w:p w:rsidR="00060BAD" w:rsidRDefault="003E4D4C" w:rsidP="003E4D4C">
            <w:pPr>
              <w:jc w:val="center"/>
            </w:pPr>
            <w:proofErr w:type="spellStart"/>
            <w:r>
              <w:t>DayMonthHour</w:t>
            </w:r>
            <w:proofErr w:type="spellEnd"/>
          </w:p>
        </w:tc>
      </w:tr>
      <w:tr w:rsidR="00060BAD" w:rsidTr="003E4D4C">
        <w:trPr>
          <w:cnfStyle w:val="000000100000"/>
          <w:jc w:val="center"/>
        </w:trPr>
        <w:tc>
          <w:tcPr>
            <w:tcW w:w="0" w:type="auto"/>
            <w:tcBorders>
              <w:right w:val="single" w:sz="8" w:space="0" w:color="FFFFFF" w:themeColor="background1"/>
            </w:tcBorders>
            <w:vAlign w:val="center"/>
          </w:tcPr>
          <w:p w:rsidR="00060BAD" w:rsidRDefault="003E4D4C" w:rsidP="003E4D4C">
            <w:pPr>
              <w:jc w:val="center"/>
            </w:pPr>
            <w:r>
              <w:t>Ramp Fraction</w:t>
            </w:r>
          </w:p>
        </w:tc>
        <w:tc>
          <w:tcPr>
            <w:tcW w:w="0" w:type="auto"/>
            <w:tcBorders>
              <w:left w:val="single" w:sz="8" w:space="0" w:color="FFFFFF" w:themeColor="background1"/>
            </w:tcBorders>
            <w:vAlign w:val="center"/>
          </w:tcPr>
          <w:p w:rsidR="00060BAD" w:rsidRDefault="003E4D4C" w:rsidP="003E4D4C">
            <w:pPr>
              <w:jc w:val="center"/>
            </w:pPr>
            <w:proofErr w:type="spellStart"/>
            <w:r>
              <w:t>roadType</w:t>
            </w:r>
            <w:proofErr w:type="spellEnd"/>
          </w:p>
        </w:tc>
      </w:tr>
      <w:tr w:rsidR="00060BAD" w:rsidTr="003E4D4C">
        <w:trPr>
          <w:jc w:val="center"/>
        </w:trPr>
        <w:tc>
          <w:tcPr>
            <w:tcW w:w="0" w:type="auto"/>
            <w:tcBorders>
              <w:right w:val="single" w:sz="8" w:space="0" w:color="FFFFFF" w:themeColor="background1"/>
            </w:tcBorders>
            <w:vAlign w:val="center"/>
          </w:tcPr>
          <w:p w:rsidR="00060BAD" w:rsidRDefault="003E4D4C" w:rsidP="003E4D4C">
            <w:pPr>
              <w:jc w:val="center"/>
            </w:pPr>
            <w:r>
              <w:t>Road Type Distribution</w:t>
            </w:r>
          </w:p>
        </w:tc>
        <w:tc>
          <w:tcPr>
            <w:tcW w:w="0" w:type="auto"/>
            <w:tcBorders>
              <w:left w:val="single" w:sz="8" w:space="0" w:color="FFFFFF" w:themeColor="background1"/>
            </w:tcBorders>
            <w:vAlign w:val="center"/>
          </w:tcPr>
          <w:p w:rsidR="00060BAD" w:rsidRDefault="003E4D4C" w:rsidP="003E4D4C">
            <w:pPr>
              <w:jc w:val="center"/>
            </w:pPr>
            <w:proofErr w:type="spellStart"/>
            <w:r>
              <w:t>roadTypeDistribution</w:t>
            </w:r>
            <w:proofErr w:type="spellEnd"/>
          </w:p>
        </w:tc>
      </w:tr>
      <w:tr w:rsidR="003E4D4C" w:rsidTr="003E4D4C">
        <w:trPr>
          <w:cnfStyle w:val="000000100000"/>
          <w:jc w:val="center"/>
        </w:trPr>
        <w:tc>
          <w:tcPr>
            <w:tcW w:w="0" w:type="auto"/>
            <w:tcBorders>
              <w:right w:val="single" w:sz="8" w:space="0" w:color="FFFFFF" w:themeColor="background1"/>
            </w:tcBorders>
            <w:vAlign w:val="center"/>
          </w:tcPr>
          <w:p w:rsidR="003E4D4C" w:rsidRDefault="003E4D4C" w:rsidP="003E4D4C">
            <w:pPr>
              <w:jc w:val="center"/>
            </w:pPr>
            <w:r>
              <w:t>Source Type Population</w:t>
            </w:r>
          </w:p>
        </w:tc>
        <w:tc>
          <w:tcPr>
            <w:tcW w:w="0" w:type="auto"/>
            <w:tcBorders>
              <w:left w:val="single" w:sz="8" w:space="0" w:color="FFFFFF" w:themeColor="background1"/>
            </w:tcBorders>
            <w:vAlign w:val="center"/>
          </w:tcPr>
          <w:p w:rsidR="003E4D4C" w:rsidRDefault="003E4D4C" w:rsidP="003E4D4C">
            <w:pPr>
              <w:jc w:val="center"/>
            </w:pPr>
            <w:proofErr w:type="spellStart"/>
            <w:r>
              <w:t>sourceTypeYear</w:t>
            </w:r>
            <w:proofErr w:type="spellEnd"/>
          </w:p>
        </w:tc>
      </w:tr>
      <w:tr w:rsidR="003E4D4C" w:rsidTr="003E4D4C">
        <w:trPr>
          <w:jc w:val="center"/>
        </w:trPr>
        <w:tc>
          <w:tcPr>
            <w:tcW w:w="0" w:type="auto"/>
            <w:vMerge w:val="restart"/>
            <w:tcBorders>
              <w:right w:val="single" w:sz="8" w:space="0" w:color="FFFFFF" w:themeColor="background1"/>
            </w:tcBorders>
            <w:vAlign w:val="center"/>
          </w:tcPr>
          <w:p w:rsidR="003E4D4C" w:rsidRDefault="003E4D4C" w:rsidP="003E4D4C">
            <w:pPr>
              <w:jc w:val="center"/>
            </w:pPr>
            <w:r>
              <w:t>Vehicle Type VMT</w:t>
            </w:r>
          </w:p>
        </w:tc>
        <w:tc>
          <w:tcPr>
            <w:tcW w:w="0" w:type="auto"/>
            <w:tcBorders>
              <w:left w:val="single" w:sz="8" w:space="0" w:color="FFFFFF" w:themeColor="background1"/>
            </w:tcBorders>
            <w:vAlign w:val="center"/>
          </w:tcPr>
          <w:p w:rsidR="003E4D4C" w:rsidRDefault="003E4D4C" w:rsidP="003E4D4C">
            <w:pPr>
              <w:jc w:val="center"/>
            </w:pPr>
            <w:proofErr w:type="spellStart"/>
            <w:r>
              <w:t>HPMSVTypeYear</w:t>
            </w:r>
            <w:proofErr w:type="spellEnd"/>
          </w:p>
        </w:tc>
      </w:tr>
      <w:tr w:rsidR="003E4D4C" w:rsidTr="003E4D4C">
        <w:trPr>
          <w:cnfStyle w:val="000000100000"/>
          <w:jc w:val="center"/>
        </w:trPr>
        <w:tc>
          <w:tcPr>
            <w:tcW w:w="0" w:type="auto"/>
            <w:vMerge/>
            <w:tcBorders>
              <w:right w:val="single" w:sz="8" w:space="0" w:color="FFFFFF" w:themeColor="background1"/>
            </w:tcBorders>
            <w:vAlign w:val="center"/>
          </w:tcPr>
          <w:p w:rsidR="003E4D4C" w:rsidRDefault="003E4D4C" w:rsidP="003E4D4C">
            <w:pPr>
              <w:jc w:val="center"/>
            </w:pPr>
          </w:p>
        </w:tc>
        <w:tc>
          <w:tcPr>
            <w:tcW w:w="0" w:type="auto"/>
            <w:tcBorders>
              <w:left w:val="single" w:sz="8" w:space="0" w:color="FFFFFF" w:themeColor="background1"/>
            </w:tcBorders>
            <w:vAlign w:val="center"/>
          </w:tcPr>
          <w:p w:rsidR="003E4D4C" w:rsidRDefault="003E4D4C" w:rsidP="003E4D4C">
            <w:pPr>
              <w:jc w:val="center"/>
            </w:pPr>
            <w:proofErr w:type="spellStart"/>
            <w:r>
              <w:t>monthVMTFraction</w:t>
            </w:r>
            <w:proofErr w:type="spellEnd"/>
          </w:p>
        </w:tc>
      </w:tr>
      <w:tr w:rsidR="003E4D4C" w:rsidTr="003E4D4C">
        <w:trPr>
          <w:jc w:val="center"/>
        </w:trPr>
        <w:tc>
          <w:tcPr>
            <w:tcW w:w="0" w:type="auto"/>
            <w:vMerge/>
            <w:tcBorders>
              <w:right w:val="single" w:sz="8" w:space="0" w:color="FFFFFF" w:themeColor="background1"/>
            </w:tcBorders>
            <w:vAlign w:val="center"/>
          </w:tcPr>
          <w:p w:rsidR="003E4D4C" w:rsidRDefault="003E4D4C" w:rsidP="003E4D4C">
            <w:pPr>
              <w:jc w:val="center"/>
            </w:pPr>
          </w:p>
        </w:tc>
        <w:tc>
          <w:tcPr>
            <w:tcW w:w="0" w:type="auto"/>
            <w:tcBorders>
              <w:left w:val="single" w:sz="8" w:space="0" w:color="FFFFFF" w:themeColor="background1"/>
            </w:tcBorders>
            <w:vAlign w:val="center"/>
          </w:tcPr>
          <w:p w:rsidR="003E4D4C" w:rsidRDefault="003E4D4C" w:rsidP="003E4D4C">
            <w:pPr>
              <w:jc w:val="center"/>
            </w:pPr>
            <w:proofErr w:type="spellStart"/>
            <w:r>
              <w:t>dayVMTFraction</w:t>
            </w:r>
            <w:proofErr w:type="spellEnd"/>
          </w:p>
        </w:tc>
      </w:tr>
      <w:tr w:rsidR="003E4D4C" w:rsidTr="003E4D4C">
        <w:trPr>
          <w:cnfStyle w:val="000000100000"/>
          <w:jc w:val="center"/>
        </w:trPr>
        <w:tc>
          <w:tcPr>
            <w:tcW w:w="0" w:type="auto"/>
            <w:vMerge/>
            <w:tcBorders>
              <w:right w:val="single" w:sz="8" w:space="0" w:color="FFFFFF" w:themeColor="background1"/>
            </w:tcBorders>
            <w:vAlign w:val="center"/>
          </w:tcPr>
          <w:p w:rsidR="003E4D4C" w:rsidRDefault="003E4D4C" w:rsidP="003E4D4C">
            <w:pPr>
              <w:jc w:val="center"/>
            </w:pPr>
          </w:p>
        </w:tc>
        <w:tc>
          <w:tcPr>
            <w:tcW w:w="0" w:type="auto"/>
            <w:tcBorders>
              <w:left w:val="single" w:sz="8" w:space="0" w:color="FFFFFF" w:themeColor="background1"/>
            </w:tcBorders>
            <w:vAlign w:val="center"/>
          </w:tcPr>
          <w:p w:rsidR="003E4D4C" w:rsidRDefault="003E4D4C" w:rsidP="003E4D4C">
            <w:pPr>
              <w:jc w:val="center"/>
            </w:pPr>
            <w:proofErr w:type="spellStart"/>
            <w:r>
              <w:t>hourVMTFraction</w:t>
            </w:r>
            <w:proofErr w:type="spellEnd"/>
          </w:p>
        </w:tc>
      </w:tr>
    </w:tbl>
    <w:p w:rsidR="00060BAD" w:rsidRDefault="00060BAD" w:rsidP="004F376D">
      <w:pPr>
        <w:jc w:val="both"/>
      </w:pPr>
    </w:p>
    <w:p w:rsidR="00745635" w:rsidRDefault="00745635" w:rsidP="00815A61">
      <w:pPr>
        <w:pStyle w:val="Heading2"/>
      </w:pPr>
      <w:bookmarkStart w:id="35" w:name="_Toc307469379"/>
      <w:bookmarkStart w:id="36" w:name="_Toc307490347"/>
      <w:r>
        <w:t>Age Distribution</w:t>
      </w:r>
      <w:bookmarkEnd w:id="35"/>
      <w:bookmarkEnd w:id="36"/>
    </w:p>
    <w:p w:rsidR="00745635" w:rsidRDefault="00745635" w:rsidP="004F376D">
      <w:pPr>
        <w:jc w:val="both"/>
      </w:pPr>
      <w:r w:rsidRPr="00A6739B">
        <w:t>Latest available age distri</w:t>
      </w:r>
      <w:r>
        <w:t xml:space="preserve">bution data for </w:t>
      </w:r>
      <w:r w:rsidR="00561ACC">
        <w:t xml:space="preserve">the </w:t>
      </w:r>
      <w:r>
        <w:t xml:space="preserve">Atlanta region was </w:t>
      </w:r>
      <w:r w:rsidRPr="00A6739B">
        <w:t xml:space="preserve">converted from </w:t>
      </w:r>
      <w:r>
        <w:t xml:space="preserve">a </w:t>
      </w:r>
      <w:r w:rsidRPr="00A6739B">
        <w:t xml:space="preserve">MOBILE6 to </w:t>
      </w:r>
      <w:r>
        <w:t xml:space="preserve">a </w:t>
      </w:r>
      <w:r w:rsidRPr="00A6739B">
        <w:t xml:space="preserve">MOVES format using </w:t>
      </w:r>
      <w:r>
        <w:t xml:space="preserve">an </w:t>
      </w:r>
      <w:r w:rsidRPr="00A6739B">
        <w:t>EPA converter</w:t>
      </w:r>
      <w:r>
        <w:t>.</w:t>
      </w:r>
      <w:r w:rsidRPr="00A6739B">
        <w:rPr>
          <w:rStyle w:val="FootnoteReference"/>
          <w:rFonts w:asciiTheme="minorHAnsi" w:hAnsiTheme="minorHAnsi"/>
        </w:rPr>
        <w:footnoteReference w:id="14"/>
      </w:r>
      <w:r w:rsidRPr="00A6739B">
        <w:t xml:space="preserve">  MOBILE6 age distributions are shown over 25 years, but MOVES requires age distributions over 30 years.  The EPA converter spreadsheet makes assumptions about how vehicles that are 25-30 years old are distributed over the oldest 5 years.  MOBILE6 distributions were derived from 2002 R.L. Polk &amp; Co. registration data for the 13 and 7 county areas separately for all vehicle types, except for HDV8B where MOBILE6 defaults were used.</w:t>
      </w:r>
    </w:p>
    <w:p w:rsidR="00745635" w:rsidRDefault="00745635" w:rsidP="00815A61">
      <w:pPr>
        <w:pStyle w:val="Heading2"/>
      </w:pPr>
      <w:bookmarkStart w:id="37" w:name="_Toc307469380"/>
      <w:bookmarkStart w:id="38" w:name="_Toc307490348"/>
      <w:r>
        <w:t>Average Speed Distribution</w:t>
      </w:r>
      <w:bookmarkEnd w:id="37"/>
      <w:bookmarkEnd w:id="38"/>
    </w:p>
    <w:p w:rsidR="00745635" w:rsidRDefault="00745635" w:rsidP="004F376D">
      <w:pPr>
        <w:jc w:val="both"/>
        <w:rPr>
          <w:rFonts w:cs="Times New Roman"/>
        </w:rPr>
      </w:pPr>
      <w:r>
        <w:rPr>
          <w:rFonts w:cs="Times New Roman"/>
        </w:rPr>
        <w:t>To prepare this input t</w:t>
      </w:r>
      <w:r w:rsidRPr="00A6739B">
        <w:rPr>
          <w:rFonts w:cs="Times New Roman"/>
        </w:rPr>
        <w:t>he weekday link hourly vehicle hours travelled (VHT) is summarized by road type and speed bin.  The MOVES defaults for the 13 source types by year are used to allocate to vehicle type.  The fraction of time in each speed bin for each hour based on vehicle type, road type, and average speed is calculated where the fractions sum to one for each combination of vehicle type and road type by hour.</w:t>
      </w:r>
    </w:p>
    <w:p w:rsidR="00745635" w:rsidRDefault="00745635" w:rsidP="00815A61">
      <w:pPr>
        <w:pStyle w:val="Heading2"/>
      </w:pPr>
      <w:bookmarkStart w:id="39" w:name="_Toc307469381"/>
      <w:bookmarkStart w:id="40" w:name="_Toc307490349"/>
      <w:r>
        <w:lastRenderedPageBreak/>
        <w:t>Fuel</w:t>
      </w:r>
      <w:bookmarkEnd w:id="39"/>
      <w:bookmarkEnd w:id="40"/>
    </w:p>
    <w:p w:rsidR="00745635" w:rsidRDefault="00745635" w:rsidP="00745635">
      <w:pPr>
        <w:ind w:left="19"/>
        <w:jc w:val="both"/>
      </w:pPr>
      <w:r>
        <w:t>MOVES defaults for fuel characteristics in Fulton County</w:t>
      </w:r>
      <w:r w:rsidR="00561ACC">
        <w:t xml:space="preserve"> (13-county)</w:t>
      </w:r>
      <w:r>
        <w:t xml:space="preserve"> and Bartow County</w:t>
      </w:r>
      <w:r w:rsidR="00561ACC">
        <w:t xml:space="preserve"> (7-county)</w:t>
      </w:r>
      <w:r>
        <w:t xml:space="preserve"> were reviewed and determined to accurately reflect the local fuel in use, which has the following characteristics: </w:t>
      </w:r>
    </w:p>
    <w:p w:rsidR="00745635" w:rsidRPr="00A6739B" w:rsidRDefault="00745635" w:rsidP="00745635">
      <w:pPr>
        <w:numPr>
          <w:ilvl w:val="0"/>
          <w:numId w:val="22"/>
        </w:numPr>
        <w:spacing w:after="0" w:line="240" w:lineRule="auto"/>
        <w:ind w:left="720" w:hanging="270"/>
        <w:jc w:val="both"/>
        <w:rPr>
          <w:rFonts w:ascii="Times New Roman" w:hAnsi="Times New Roman"/>
        </w:rPr>
      </w:pPr>
      <w:r w:rsidRPr="005537E4">
        <w:t>Fuel - Phase 2 Low Sulfur, Low RVP Georgia Gasoline</w:t>
      </w:r>
      <w:r w:rsidRPr="005537E4">
        <w:rPr>
          <w:rStyle w:val="FootnoteReference"/>
        </w:rPr>
        <w:footnoteReference w:id="15"/>
      </w:r>
    </w:p>
    <w:p w:rsidR="00745635" w:rsidRPr="00A6739B" w:rsidRDefault="00745635" w:rsidP="00745635">
      <w:pPr>
        <w:pStyle w:val="ListParagraph"/>
        <w:numPr>
          <w:ilvl w:val="0"/>
          <w:numId w:val="22"/>
        </w:numPr>
        <w:spacing w:after="0" w:line="240" w:lineRule="auto"/>
        <w:ind w:left="730" w:hanging="270"/>
        <w:jc w:val="both"/>
        <w:rPr>
          <w:rFonts w:ascii="Times New Roman" w:hAnsi="Times New Roman"/>
        </w:rPr>
      </w:pPr>
      <w:r w:rsidRPr="005537E4">
        <w:t>100% market share of 10% ethanol-blend gasoline (E10) assumed</w:t>
      </w:r>
    </w:p>
    <w:p w:rsidR="00745635" w:rsidRPr="00745635" w:rsidRDefault="00745635" w:rsidP="00745635">
      <w:pPr>
        <w:pStyle w:val="ListParagraph"/>
        <w:numPr>
          <w:ilvl w:val="0"/>
          <w:numId w:val="22"/>
        </w:numPr>
        <w:spacing w:after="0" w:line="240" w:lineRule="auto"/>
        <w:ind w:left="724" w:hanging="264"/>
        <w:jc w:val="both"/>
        <w:rPr>
          <w:rFonts w:ascii="Times New Roman" w:hAnsi="Times New Roman"/>
        </w:rPr>
      </w:pPr>
      <w:r>
        <w:t>V</w:t>
      </w:r>
      <w:r w:rsidRPr="005537E4">
        <w:t>olatility waiver for E10 allows 1.0 psi RVP increase</w:t>
      </w:r>
    </w:p>
    <w:p w:rsidR="00745635" w:rsidRDefault="00745635" w:rsidP="00745635">
      <w:pPr>
        <w:spacing w:after="0" w:line="240" w:lineRule="auto"/>
        <w:jc w:val="both"/>
      </w:pPr>
    </w:p>
    <w:p w:rsidR="00745635" w:rsidRDefault="00745635" w:rsidP="00745635">
      <w:pPr>
        <w:spacing w:after="0" w:line="240" w:lineRule="auto"/>
        <w:jc w:val="both"/>
      </w:pPr>
      <w:r>
        <w:t>The following provides more details on the MOVES default values used:</w:t>
      </w:r>
    </w:p>
    <w:p w:rsidR="00745635" w:rsidRPr="00745635" w:rsidRDefault="00745635" w:rsidP="00745635">
      <w:pPr>
        <w:spacing w:after="0" w:line="240" w:lineRule="auto"/>
        <w:jc w:val="both"/>
        <w:rPr>
          <w:rFonts w:ascii="Times New Roman" w:hAnsi="Times New Roman"/>
        </w:rPr>
      </w:pPr>
    </w:p>
    <w:p w:rsidR="00745635" w:rsidRDefault="00745635" w:rsidP="00745635">
      <w:pPr>
        <w:pStyle w:val="ListParagraph"/>
        <w:numPr>
          <w:ilvl w:val="0"/>
          <w:numId w:val="23"/>
        </w:numPr>
        <w:ind w:left="719" w:hanging="270"/>
        <w:jc w:val="both"/>
      </w:pPr>
      <w:r>
        <w:t>Ozone - MOVES defaults are used for a July</w:t>
      </w:r>
      <w:r w:rsidR="00561ACC">
        <w:t xml:space="preserve"> weekday for Fulton County and Bartow County</w:t>
      </w:r>
    </w:p>
    <w:p w:rsidR="00745635" w:rsidRDefault="00745635" w:rsidP="00745635">
      <w:pPr>
        <w:pStyle w:val="ListParagraph"/>
        <w:numPr>
          <w:ilvl w:val="0"/>
          <w:numId w:val="23"/>
        </w:numPr>
        <w:ind w:left="719" w:hanging="270"/>
        <w:jc w:val="both"/>
      </w:pPr>
      <w:r>
        <w:t>PM</w:t>
      </w:r>
      <w:r w:rsidRPr="00745635">
        <w:rPr>
          <w:vertAlign w:val="subscript"/>
        </w:rPr>
        <w:t>2.5</w:t>
      </w:r>
      <w:r>
        <w:t xml:space="preserve"> – MOVES defaults are used for the 12 months of the year for Fulton </w:t>
      </w:r>
      <w:r w:rsidR="00561ACC">
        <w:t>County</w:t>
      </w:r>
      <w:r>
        <w:t xml:space="preserve"> </w:t>
      </w:r>
      <w:r w:rsidR="00561ACC">
        <w:t xml:space="preserve">and </w:t>
      </w:r>
      <w:r>
        <w:t xml:space="preserve">Bartow </w:t>
      </w:r>
      <w:r w:rsidR="00561ACC">
        <w:t>County</w:t>
      </w:r>
      <w:r>
        <w:t>.  The 12 months of fuel data are annualized by setting the single month market share equal to the fraction of time that fuel is used throughout the year (number of months in use divided by 12).</w:t>
      </w:r>
    </w:p>
    <w:p w:rsidR="00060BAD" w:rsidRDefault="00060BAD" w:rsidP="00815A61">
      <w:pPr>
        <w:pStyle w:val="Heading2"/>
      </w:pPr>
      <w:bookmarkStart w:id="41" w:name="_Toc307469382"/>
      <w:bookmarkStart w:id="42" w:name="_Toc307490350"/>
      <w:r>
        <w:t>I/M Program</w:t>
      </w:r>
      <w:bookmarkEnd w:id="41"/>
      <w:bookmarkEnd w:id="42"/>
    </w:p>
    <w:p w:rsidR="00060BAD" w:rsidRDefault="00060BAD" w:rsidP="00060BAD">
      <w:pPr>
        <w:spacing w:after="0" w:line="240" w:lineRule="auto"/>
        <w:jc w:val="both"/>
      </w:pPr>
      <w:r>
        <w:t>The 13-county area has an inspection/maintenance program that is modeled in MOVES, but the 7-county area does not.  MOVES defaults for Fulton County were inspected and modified to provide the correct model years covered and testing methods used as summarized in the I/M program characteristics below:</w:t>
      </w:r>
    </w:p>
    <w:p w:rsidR="00060BAD" w:rsidRDefault="00060BAD" w:rsidP="00060BAD">
      <w:pPr>
        <w:spacing w:after="0" w:line="240" w:lineRule="auto"/>
        <w:jc w:val="both"/>
      </w:pPr>
    </w:p>
    <w:p w:rsidR="006A76AF" w:rsidRDefault="006A76AF" w:rsidP="00C62DA6">
      <w:pPr>
        <w:pStyle w:val="ListParagraph"/>
        <w:numPr>
          <w:ilvl w:val="0"/>
          <w:numId w:val="27"/>
        </w:numPr>
        <w:spacing w:after="0" w:line="240" w:lineRule="auto"/>
        <w:jc w:val="both"/>
      </w:pPr>
      <w:r>
        <w:t>Stage II Refueling Vapor Recovery</w:t>
      </w:r>
    </w:p>
    <w:p w:rsidR="006A76AF" w:rsidRDefault="006A76AF" w:rsidP="006A76AF">
      <w:pPr>
        <w:pStyle w:val="ListParagraph"/>
        <w:numPr>
          <w:ilvl w:val="1"/>
          <w:numId w:val="27"/>
        </w:numPr>
        <w:spacing w:after="0" w:line="240" w:lineRule="auto"/>
        <w:ind w:left="1080"/>
        <w:jc w:val="both"/>
      </w:pPr>
      <w:r>
        <w:t>Started in 1992</w:t>
      </w:r>
    </w:p>
    <w:p w:rsidR="006A76AF" w:rsidRDefault="006A76AF" w:rsidP="006A76AF">
      <w:pPr>
        <w:pStyle w:val="ListParagraph"/>
        <w:numPr>
          <w:ilvl w:val="1"/>
          <w:numId w:val="27"/>
        </w:numPr>
        <w:spacing w:after="0" w:line="240" w:lineRule="auto"/>
        <w:ind w:left="1080"/>
        <w:jc w:val="both"/>
      </w:pPr>
      <w:r>
        <w:t>Three phase in years</w:t>
      </w:r>
    </w:p>
    <w:p w:rsidR="006A76AF" w:rsidRDefault="006A76AF" w:rsidP="006A76AF">
      <w:pPr>
        <w:pStyle w:val="ListParagraph"/>
        <w:numPr>
          <w:ilvl w:val="1"/>
          <w:numId w:val="27"/>
        </w:numPr>
        <w:spacing w:after="0" w:line="240" w:lineRule="auto"/>
        <w:ind w:left="1080"/>
        <w:jc w:val="both"/>
      </w:pPr>
      <w:r>
        <w:t>81% efficiency</w:t>
      </w:r>
    </w:p>
    <w:p w:rsidR="00060BAD" w:rsidRPr="005537E4" w:rsidRDefault="00060BAD" w:rsidP="00C62DA6">
      <w:pPr>
        <w:pStyle w:val="ListParagraph"/>
        <w:numPr>
          <w:ilvl w:val="0"/>
          <w:numId w:val="27"/>
        </w:numPr>
        <w:spacing w:after="0" w:line="240" w:lineRule="auto"/>
        <w:jc w:val="both"/>
      </w:pPr>
      <w:r w:rsidRPr="005537E4">
        <w:t>Exhaust and Evaporative (OBD and gas cap pressure test) for 1996 and newer vehicles</w:t>
      </w:r>
    </w:p>
    <w:p w:rsidR="00060BAD" w:rsidRPr="005537E4" w:rsidRDefault="00060BAD" w:rsidP="00060BAD">
      <w:pPr>
        <w:numPr>
          <w:ilvl w:val="0"/>
          <w:numId w:val="28"/>
        </w:numPr>
        <w:spacing w:after="0" w:line="240" w:lineRule="auto"/>
        <w:jc w:val="both"/>
      </w:pPr>
      <w:r w:rsidRPr="005537E4">
        <w:t>Annual inspection required</w:t>
      </w:r>
    </w:p>
    <w:p w:rsidR="00060BAD" w:rsidRPr="005537E4" w:rsidRDefault="00060BAD" w:rsidP="00060BAD">
      <w:pPr>
        <w:numPr>
          <w:ilvl w:val="0"/>
          <w:numId w:val="28"/>
        </w:numPr>
        <w:spacing w:after="0" w:line="240" w:lineRule="auto"/>
        <w:jc w:val="both"/>
      </w:pPr>
      <w:r w:rsidRPr="005537E4">
        <w:t>Computerized test and repair OBD – Exhaust</w:t>
      </w:r>
    </w:p>
    <w:p w:rsidR="00060BAD" w:rsidRPr="005537E4" w:rsidRDefault="00060BAD" w:rsidP="00060BAD">
      <w:pPr>
        <w:numPr>
          <w:ilvl w:val="0"/>
          <w:numId w:val="28"/>
        </w:numPr>
        <w:spacing w:after="0" w:line="240" w:lineRule="auto"/>
        <w:jc w:val="both"/>
      </w:pPr>
      <w:r w:rsidRPr="005537E4">
        <w:t>Computerized test and repair OBD &amp; GC - Evaporative</w:t>
      </w:r>
    </w:p>
    <w:p w:rsidR="00060BAD" w:rsidRPr="005537E4" w:rsidRDefault="00060BAD" w:rsidP="00060BAD">
      <w:pPr>
        <w:numPr>
          <w:ilvl w:val="0"/>
          <w:numId w:val="28"/>
        </w:numPr>
        <w:spacing w:after="0" w:line="240" w:lineRule="auto"/>
        <w:jc w:val="both"/>
      </w:pPr>
      <w:r w:rsidRPr="005537E4">
        <w:t>Applies to all LDG vehicle types</w:t>
      </w:r>
    </w:p>
    <w:p w:rsidR="00060BAD" w:rsidRPr="005537E4" w:rsidRDefault="00060BAD" w:rsidP="00060BAD">
      <w:pPr>
        <w:numPr>
          <w:ilvl w:val="0"/>
          <w:numId w:val="28"/>
        </w:numPr>
        <w:spacing w:after="0" w:line="240" w:lineRule="auto"/>
        <w:jc w:val="both"/>
      </w:pPr>
      <w:r w:rsidRPr="005537E4">
        <w:t>Three year grace period</w:t>
      </w:r>
    </w:p>
    <w:p w:rsidR="00060BAD" w:rsidRPr="005537E4" w:rsidRDefault="00060BAD" w:rsidP="00060BAD">
      <w:pPr>
        <w:numPr>
          <w:ilvl w:val="0"/>
          <w:numId w:val="28"/>
        </w:numPr>
        <w:spacing w:after="0" w:line="240" w:lineRule="auto"/>
        <w:jc w:val="both"/>
      </w:pPr>
      <w:r w:rsidRPr="005537E4">
        <w:t>3% waiver rate for all vehicles – Exhaust test</w:t>
      </w:r>
    </w:p>
    <w:p w:rsidR="00060BAD" w:rsidRPr="005537E4" w:rsidRDefault="00060BAD" w:rsidP="00060BAD">
      <w:pPr>
        <w:numPr>
          <w:ilvl w:val="0"/>
          <w:numId w:val="28"/>
        </w:numPr>
        <w:spacing w:after="0" w:line="240" w:lineRule="auto"/>
        <w:jc w:val="both"/>
      </w:pPr>
      <w:r w:rsidRPr="005537E4">
        <w:t>0% waiver rate for all vehicles – Evaporative test</w:t>
      </w:r>
    </w:p>
    <w:p w:rsidR="00060BAD" w:rsidRPr="005537E4" w:rsidRDefault="00060BAD" w:rsidP="00060BAD">
      <w:pPr>
        <w:numPr>
          <w:ilvl w:val="0"/>
          <w:numId w:val="28"/>
        </w:numPr>
        <w:spacing w:after="0" w:line="240" w:lineRule="auto"/>
        <w:jc w:val="both"/>
      </w:pPr>
      <w:r w:rsidRPr="005537E4">
        <w:t>97% compliance</w:t>
      </w:r>
    </w:p>
    <w:p w:rsidR="00060BAD" w:rsidRPr="005537E4" w:rsidRDefault="00060BAD" w:rsidP="00C62DA6">
      <w:pPr>
        <w:numPr>
          <w:ilvl w:val="0"/>
          <w:numId w:val="20"/>
        </w:numPr>
        <w:spacing w:after="0" w:line="240" w:lineRule="auto"/>
        <w:ind w:left="720"/>
        <w:jc w:val="both"/>
      </w:pPr>
      <w:r w:rsidRPr="005537E4">
        <w:t>Exhaust and Evaporative test for 1975 – 1995 vehicles</w:t>
      </w:r>
    </w:p>
    <w:p w:rsidR="00060BAD" w:rsidRPr="005537E4" w:rsidRDefault="00060BAD" w:rsidP="00060BAD">
      <w:pPr>
        <w:numPr>
          <w:ilvl w:val="0"/>
          <w:numId w:val="28"/>
        </w:numPr>
        <w:spacing w:after="0" w:line="240" w:lineRule="auto"/>
        <w:jc w:val="both"/>
      </w:pPr>
      <w:r w:rsidRPr="005537E4">
        <w:t>Annual inspection required</w:t>
      </w:r>
    </w:p>
    <w:p w:rsidR="00060BAD" w:rsidRPr="005537E4" w:rsidRDefault="00060BAD" w:rsidP="00060BAD">
      <w:pPr>
        <w:numPr>
          <w:ilvl w:val="0"/>
          <w:numId w:val="28"/>
        </w:numPr>
        <w:spacing w:after="0" w:line="240" w:lineRule="auto"/>
        <w:jc w:val="both"/>
      </w:pPr>
      <w:r w:rsidRPr="005537E4">
        <w:t>Computerized test and repair ASM 2525/5015 Phase-in – Exhaust</w:t>
      </w:r>
    </w:p>
    <w:p w:rsidR="00060BAD" w:rsidRPr="005537E4" w:rsidRDefault="00060BAD" w:rsidP="00060BAD">
      <w:pPr>
        <w:numPr>
          <w:ilvl w:val="0"/>
          <w:numId w:val="28"/>
        </w:numPr>
        <w:spacing w:after="0" w:line="240" w:lineRule="auto"/>
        <w:jc w:val="both"/>
      </w:pPr>
      <w:r w:rsidRPr="005537E4">
        <w:t>Computerized test and repair GC – Evaporative</w:t>
      </w:r>
    </w:p>
    <w:p w:rsidR="00060BAD" w:rsidRPr="005537E4" w:rsidRDefault="00060BAD" w:rsidP="00060BAD">
      <w:pPr>
        <w:numPr>
          <w:ilvl w:val="0"/>
          <w:numId w:val="28"/>
        </w:numPr>
        <w:spacing w:after="0" w:line="240" w:lineRule="auto"/>
        <w:jc w:val="both"/>
      </w:pPr>
      <w:r w:rsidRPr="005537E4">
        <w:lastRenderedPageBreak/>
        <w:t>Applies to all LDG vehicle types</w:t>
      </w:r>
    </w:p>
    <w:p w:rsidR="00060BAD" w:rsidRPr="005537E4" w:rsidRDefault="00060BAD" w:rsidP="00060BAD">
      <w:pPr>
        <w:numPr>
          <w:ilvl w:val="0"/>
          <w:numId w:val="28"/>
        </w:numPr>
        <w:spacing w:after="0" w:line="240" w:lineRule="auto"/>
        <w:jc w:val="both"/>
      </w:pPr>
      <w:r w:rsidRPr="005537E4">
        <w:t>3% waiver rate for all vehicles – Exhaust</w:t>
      </w:r>
    </w:p>
    <w:p w:rsidR="00060BAD" w:rsidRPr="005537E4" w:rsidRDefault="00060BAD" w:rsidP="00060BAD">
      <w:pPr>
        <w:numPr>
          <w:ilvl w:val="0"/>
          <w:numId w:val="28"/>
        </w:numPr>
        <w:spacing w:after="0" w:line="240" w:lineRule="auto"/>
        <w:jc w:val="both"/>
      </w:pPr>
      <w:r w:rsidRPr="005537E4">
        <w:t>0% waiver rate for all vehicles – Evaporative</w:t>
      </w:r>
    </w:p>
    <w:p w:rsidR="00060BAD" w:rsidRPr="005537E4" w:rsidRDefault="00060BAD" w:rsidP="00060BAD">
      <w:pPr>
        <w:numPr>
          <w:ilvl w:val="0"/>
          <w:numId w:val="28"/>
        </w:numPr>
        <w:spacing w:after="0" w:line="240" w:lineRule="auto"/>
        <w:jc w:val="both"/>
      </w:pPr>
      <w:r w:rsidRPr="005537E4">
        <w:t>97% compliance</w:t>
      </w:r>
    </w:p>
    <w:p w:rsidR="006A76AF" w:rsidRDefault="00060BAD" w:rsidP="00060BAD">
      <w:pPr>
        <w:numPr>
          <w:ilvl w:val="0"/>
          <w:numId w:val="28"/>
        </w:numPr>
        <w:spacing w:after="0" w:line="240" w:lineRule="auto"/>
        <w:jc w:val="both"/>
      </w:pPr>
      <w:r w:rsidRPr="005537E4">
        <w:t>25 year and older model years are exempt</w:t>
      </w:r>
    </w:p>
    <w:p w:rsidR="006A76AF" w:rsidRDefault="006A76AF" w:rsidP="006A76AF">
      <w:pPr>
        <w:spacing w:after="0" w:line="240" w:lineRule="auto"/>
        <w:jc w:val="both"/>
      </w:pPr>
    </w:p>
    <w:p w:rsidR="00060BAD" w:rsidRPr="00060BAD" w:rsidRDefault="00060BAD" w:rsidP="006A76AF">
      <w:pPr>
        <w:spacing w:after="0" w:line="240" w:lineRule="auto"/>
        <w:jc w:val="both"/>
      </w:pPr>
      <w:r w:rsidRPr="00820EC9">
        <w:t xml:space="preserve">Exhibit </w:t>
      </w:r>
      <w:r w:rsidR="00454736">
        <w:t>4</w:t>
      </w:r>
      <w:r>
        <w:t xml:space="preserve"> documents the calculations of the emissions reductions credit loss from the </w:t>
      </w:r>
      <w:commentRangeStart w:id="43"/>
      <w:commentRangeStart w:id="44"/>
      <w:r>
        <w:t>senior I/M exemption</w:t>
      </w:r>
      <w:commentRangeEnd w:id="43"/>
      <w:r>
        <w:rPr>
          <w:rStyle w:val="CommentReference"/>
        </w:rPr>
        <w:commentReference w:id="43"/>
      </w:r>
      <w:commentRangeEnd w:id="44"/>
      <w:r w:rsidR="00F74EC7">
        <w:rPr>
          <w:rStyle w:val="CommentReference"/>
        </w:rPr>
        <w:commentReference w:id="44"/>
      </w:r>
      <w:r>
        <w:t>.</w:t>
      </w:r>
    </w:p>
    <w:p w:rsidR="00745635" w:rsidRDefault="00745635" w:rsidP="00815A61">
      <w:pPr>
        <w:pStyle w:val="Heading2"/>
      </w:pPr>
      <w:bookmarkStart w:id="45" w:name="_Toc307469383"/>
      <w:bookmarkStart w:id="46" w:name="_Toc307490351"/>
      <w:r>
        <w:t>Meteorology</w:t>
      </w:r>
      <w:bookmarkEnd w:id="45"/>
      <w:bookmarkEnd w:id="46"/>
    </w:p>
    <w:p w:rsidR="00745635" w:rsidRDefault="00745635" w:rsidP="00745635">
      <w:pPr>
        <w:ind w:left="11"/>
        <w:jc w:val="both"/>
      </w:pPr>
      <w:r>
        <w:t>Meteorological data on hourly temperatures and relative humidity were obtained from the National Mobile Inventory Model (NMIM) County Database (</w:t>
      </w:r>
      <w:r w:rsidRPr="00692BBB">
        <w:t>version NCD20090531</w:t>
      </w:r>
      <w:r>
        <w:t xml:space="preserve">) for the year 2008.  Temperature and humidity values were extracted for all 20 counties and averaged together to produce one set of values for the entire 20-county area.  The following provides more details on the differences between meteorology data </w:t>
      </w:r>
      <w:r w:rsidR="006A76AF">
        <w:t>used for</w:t>
      </w:r>
      <w:r>
        <w:t xml:space="preserve"> ozone and </w:t>
      </w:r>
      <w:r w:rsidR="006A76AF">
        <w:t>PM</w:t>
      </w:r>
      <w:r w:rsidR="006A76AF">
        <w:rPr>
          <w:vertAlign w:val="subscript"/>
        </w:rPr>
        <w:t>2.5</w:t>
      </w:r>
      <w:r w:rsidR="006A76AF">
        <w:t xml:space="preserve"> analyses</w:t>
      </w:r>
      <w:r>
        <w:t>:</w:t>
      </w:r>
    </w:p>
    <w:p w:rsidR="00745635" w:rsidRDefault="00745635" w:rsidP="00745635">
      <w:pPr>
        <w:pStyle w:val="ListParagraph"/>
        <w:numPr>
          <w:ilvl w:val="0"/>
          <w:numId w:val="24"/>
        </w:numPr>
        <w:ind w:left="721" w:hanging="270"/>
        <w:jc w:val="both"/>
      </w:pPr>
      <w:r>
        <w:t>Ozone – Meteorological data from July 2008 were used to represent the ozone season</w:t>
      </w:r>
    </w:p>
    <w:p w:rsidR="00745635" w:rsidRDefault="006A76AF" w:rsidP="00745635">
      <w:pPr>
        <w:pStyle w:val="ListParagraph"/>
        <w:numPr>
          <w:ilvl w:val="0"/>
          <w:numId w:val="24"/>
        </w:numPr>
        <w:ind w:left="721" w:hanging="270"/>
        <w:jc w:val="both"/>
      </w:pPr>
      <w:r>
        <w:t>PM</w:t>
      </w:r>
      <w:r>
        <w:rPr>
          <w:vertAlign w:val="subscript"/>
        </w:rPr>
        <w:t>2.5</w:t>
      </w:r>
      <w:r w:rsidR="00745635">
        <w:t xml:space="preserve"> – Meteorological data from all 12 months of the year in 2008 were extracted and averaged together to represent an average annual 2008 meteorological condition.</w:t>
      </w:r>
    </w:p>
    <w:p w:rsidR="00745635" w:rsidRDefault="00F6033E" w:rsidP="00815A61">
      <w:pPr>
        <w:pStyle w:val="Heading2"/>
      </w:pPr>
      <w:bookmarkStart w:id="47" w:name="_Toc307469384"/>
      <w:bookmarkStart w:id="48" w:name="_Toc307490352"/>
      <w:r>
        <w:t>Ramp Fraction</w:t>
      </w:r>
      <w:bookmarkEnd w:id="47"/>
      <w:bookmarkEnd w:id="48"/>
    </w:p>
    <w:p w:rsidR="00F6033E" w:rsidRDefault="00F6033E" w:rsidP="00745635">
      <w:pPr>
        <w:jc w:val="both"/>
        <w:rPr>
          <w:rFonts w:cs="Times New Roman"/>
        </w:rPr>
      </w:pPr>
      <w:r w:rsidRPr="00A6739B">
        <w:rPr>
          <w:rFonts w:cs="Times New Roman"/>
        </w:rPr>
        <w:t xml:space="preserve">The weekday link VMT </w:t>
      </w:r>
      <w:r>
        <w:rPr>
          <w:rFonts w:cs="Times New Roman"/>
        </w:rPr>
        <w:t>is</w:t>
      </w:r>
      <w:r w:rsidRPr="00A6739B">
        <w:rPr>
          <w:rFonts w:cs="Times New Roman"/>
        </w:rPr>
        <w:t xml:space="preserve"> summarized for intersta</w:t>
      </w:r>
      <w:r>
        <w:rPr>
          <w:rFonts w:cs="Times New Roman"/>
        </w:rPr>
        <w:t xml:space="preserve">te, </w:t>
      </w:r>
      <w:r w:rsidRPr="00A6739B">
        <w:rPr>
          <w:rFonts w:cs="Times New Roman"/>
        </w:rPr>
        <w:t>freeway and ramp facilities by urban versus rural area type classifications.  The percent of r</w:t>
      </w:r>
      <w:r>
        <w:rPr>
          <w:rFonts w:cs="Times New Roman"/>
        </w:rPr>
        <w:t xml:space="preserve">amp VMT of the total interstate, </w:t>
      </w:r>
      <w:r w:rsidRPr="00A6739B">
        <w:rPr>
          <w:rFonts w:cs="Times New Roman"/>
        </w:rPr>
        <w:t xml:space="preserve">freeway and ramp VMT </w:t>
      </w:r>
      <w:r>
        <w:rPr>
          <w:rFonts w:cs="Times New Roman"/>
        </w:rPr>
        <w:t>was</w:t>
      </w:r>
      <w:r w:rsidRPr="00A6739B">
        <w:rPr>
          <w:rFonts w:cs="Times New Roman"/>
        </w:rPr>
        <w:t xml:space="preserve"> calculated by area type.</w:t>
      </w:r>
    </w:p>
    <w:p w:rsidR="00F6033E" w:rsidRDefault="00F6033E" w:rsidP="00815A61">
      <w:pPr>
        <w:pStyle w:val="Heading2"/>
      </w:pPr>
      <w:bookmarkStart w:id="49" w:name="_Toc307469385"/>
      <w:bookmarkStart w:id="50" w:name="_Toc307490353"/>
      <w:r>
        <w:t>Road Type Distribution</w:t>
      </w:r>
      <w:bookmarkEnd w:id="49"/>
      <w:bookmarkEnd w:id="50"/>
    </w:p>
    <w:p w:rsidR="00F6033E" w:rsidRDefault="00F6033E" w:rsidP="00745635">
      <w:pPr>
        <w:jc w:val="both"/>
        <w:rPr>
          <w:rFonts w:cs="Times New Roman"/>
        </w:rPr>
      </w:pPr>
      <w:r w:rsidRPr="00A6739B">
        <w:rPr>
          <w:rFonts w:cs="Times New Roman"/>
        </w:rPr>
        <w:t xml:space="preserve">The weekday link hourly VMT is summarized by </w:t>
      </w:r>
      <w:proofErr w:type="spellStart"/>
      <w:r w:rsidRPr="00A6739B">
        <w:rPr>
          <w:rFonts w:cs="Times New Roman"/>
        </w:rPr>
        <w:t>roadtype</w:t>
      </w:r>
      <w:proofErr w:type="spellEnd"/>
      <w:r w:rsidRPr="00A6739B">
        <w:rPr>
          <w:rFonts w:cs="Times New Roman"/>
        </w:rPr>
        <w:t>. The MOVES defaults for the 13 source types by year are used to allocate to vehicle type.  The fraction of VMT by road type and vehicle type is calculated</w:t>
      </w:r>
      <w:r>
        <w:rPr>
          <w:rFonts w:cs="Times New Roman"/>
        </w:rPr>
        <w:t>,</w:t>
      </w:r>
      <w:r w:rsidRPr="00A6739B">
        <w:rPr>
          <w:rFonts w:cs="Times New Roman"/>
        </w:rPr>
        <w:t xml:space="preserve"> where the fractions sum to one for each vehicle type.</w:t>
      </w:r>
    </w:p>
    <w:p w:rsidR="00F6033E" w:rsidRDefault="00F6033E" w:rsidP="00815A61">
      <w:pPr>
        <w:pStyle w:val="Heading2"/>
      </w:pPr>
      <w:bookmarkStart w:id="51" w:name="_Toc307469386"/>
      <w:bookmarkStart w:id="52" w:name="_Toc307490354"/>
      <w:r>
        <w:t>Source Type Population</w:t>
      </w:r>
      <w:bookmarkEnd w:id="51"/>
      <w:bookmarkEnd w:id="52"/>
    </w:p>
    <w:p w:rsidR="00F6033E" w:rsidRDefault="00F6033E" w:rsidP="00F6033E">
      <w:pPr>
        <w:jc w:val="both"/>
      </w:pPr>
      <w:r>
        <w:t xml:space="preserve">Source Type Population (the number of each of 13 vehicle types) is an input that was not required with MOBILE6.  Registration data, which </w:t>
      </w:r>
      <w:r w:rsidR="0003410F">
        <w:t>were</w:t>
      </w:r>
      <w:r>
        <w:t xml:space="preserve"> used to produce age distributions, are used to produce this input for most vehicle types.  However, for long-haul combination trucks (source type 62) a VMT-based method is used since these types of trucks from around the country move through the region and are usually not registered here.</w:t>
      </w:r>
    </w:p>
    <w:p w:rsidR="00F6033E" w:rsidRDefault="00F6033E" w:rsidP="00F6033E">
      <w:r>
        <w:t xml:space="preserve">Source type population for source types 11-61 are derived from registration data and human population estimates and forecasts.  The following data sources are used: </w:t>
      </w:r>
    </w:p>
    <w:p w:rsidR="00F6033E" w:rsidRDefault="00F6033E" w:rsidP="00F6033E">
      <w:pPr>
        <w:pStyle w:val="ListParagraph"/>
        <w:numPr>
          <w:ilvl w:val="0"/>
          <w:numId w:val="25"/>
        </w:numPr>
        <w:ind w:left="720" w:hanging="270"/>
      </w:pPr>
      <w:r>
        <w:t>2002 R.L. Polk &amp; Co. registration data each of the 20 counties</w:t>
      </w:r>
    </w:p>
    <w:p w:rsidR="00F6033E" w:rsidRDefault="00F6033E" w:rsidP="00F6033E">
      <w:pPr>
        <w:pStyle w:val="ListParagraph"/>
        <w:numPr>
          <w:ilvl w:val="0"/>
          <w:numId w:val="25"/>
        </w:numPr>
        <w:ind w:left="720" w:hanging="270"/>
      </w:pPr>
      <w:r w:rsidRPr="00231C0A">
        <w:t>Georgia registration data (2003 and 2007)</w:t>
      </w:r>
      <w:r>
        <w:rPr>
          <w:rStyle w:val="FootnoteReference"/>
        </w:rPr>
        <w:footnoteReference w:id="16"/>
      </w:r>
    </w:p>
    <w:p w:rsidR="00F6033E" w:rsidRDefault="00F6033E" w:rsidP="00F6033E">
      <w:pPr>
        <w:pStyle w:val="ListParagraph"/>
        <w:numPr>
          <w:ilvl w:val="0"/>
          <w:numId w:val="25"/>
        </w:numPr>
        <w:ind w:left="720" w:hanging="270"/>
      </w:pPr>
      <w:r>
        <w:t>2002 and 2007 Census human population estimates</w:t>
      </w:r>
    </w:p>
    <w:p w:rsidR="00F6033E" w:rsidRDefault="00F6033E" w:rsidP="00F6033E">
      <w:pPr>
        <w:pStyle w:val="ListParagraph"/>
        <w:numPr>
          <w:ilvl w:val="0"/>
          <w:numId w:val="25"/>
        </w:numPr>
        <w:ind w:left="720" w:hanging="270"/>
      </w:pPr>
      <w:r>
        <w:lastRenderedPageBreak/>
        <w:t>2007-2040 ARC human population forecasts</w:t>
      </w:r>
    </w:p>
    <w:p w:rsidR="00F6033E" w:rsidRDefault="00F6033E" w:rsidP="00F6033E">
      <w:r>
        <w:t xml:space="preserve">After this data was accumulated, </w:t>
      </w:r>
      <w:commentRangeStart w:id="53"/>
      <w:r>
        <w:t>t</w:t>
      </w:r>
      <w:commentRangeStart w:id="54"/>
      <w:r>
        <w:t>he following method is used to project future source type population:</w:t>
      </w:r>
      <w:commentRangeEnd w:id="54"/>
      <w:r>
        <w:rPr>
          <w:rStyle w:val="CommentReference"/>
        </w:rPr>
        <w:commentReference w:id="54"/>
      </w:r>
      <w:commentRangeEnd w:id="53"/>
      <w:r w:rsidR="00F74EC7">
        <w:rPr>
          <w:rStyle w:val="CommentReference"/>
        </w:rPr>
        <w:commentReference w:id="53"/>
      </w:r>
    </w:p>
    <w:p w:rsidR="00F6033E" w:rsidRDefault="00F6033E" w:rsidP="00F6033E">
      <w:pPr>
        <w:pStyle w:val="ListParagraph"/>
        <w:numPr>
          <w:ilvl w:val="0"/>
          <w:numId w:val="26"/>
        </w:numPr>
        <w:ind w:left="720" w:hanging="270"/>
      </w:pPr>
      <w:r>
        <w:t xml:space="preserve">Grow 2002 Polk registration data to 2007 using different growth factors that depend on vehicle type as shown in </w:t>
      </w:r>
      <w:r w:rsidR="00820EC9">
        <w:t>Table 9</w:t>
      </w:r>
      <w:r>
        <w:t>.</w:t>
      </w:r>
    </w:p>
    <w:p w:rsidR="009F32A3" w:rsidRDefault="009F32A3" w:rsidP="00F6033E">
      <w:pPr>
        <w:pStyle w:val="ListParagraph"/>
        <w:numPr>
          <w:ilvl w:val="0"/>
          <w:numId w:val="26"/>
        </w:numPr>
        <w:ind w:left="720" w:hanging="270"/>
      </w:pPr>
      <w:r>
        <w:t>Convert the Polk registration data</w:t>
      </w:r>
      <w:r w:rsidR="00A1757D">
        <w:t xml:space="preserve"> to MOVES vehicle types using a modified</w:t>
      </w:r>
      <w:r>
        <w:t xml:space="preserve"> EPA converter spreadsheet</w:t>
      </w:r>
      <w:r w:rsidR="00A1757D">
        <w:rPr>
          <w:rStyle w:val="FootnoteReference"/>
        </w:rPr>
        <w:footnoteReference w:id="17"/>
      </w:r>
    </w:p>
    <w:p w:rsidR="009F32A3" w:rsidRDefault="009F32A3" w:rsidP="00F6033E">
      <w:pPr>
        <w:pStyle w:val="ListParagraph"/>
        <w:numPr>
          <w:ilvl w:val="0"/>
          <w:numId w:val="26"/>
        </w:numPr>
        <w:ind w:left="720" w:hanging="270"/>
      </w:pPr>
      <w:r>
        <w:t>Grow the 2007 source type population by county to the appropriate future year(s) using 2007-2040 ARC human population forecasts by county</w:t>
      </w:r>
    </w:p>
    <w:p w:rsidR="009F32A3" w:rsidRDefault="009F32A3" w:rsidP="00F6033E">
      <w:pPr>
        <w:pStyle w:val="ListParagraph"/>
        <w:numPr>
          <w:ilvl w:val="0"/>
          <w:numId w:val="26"/>
        </w:numPr>
        <w:ind w:left="720" w:hanging="270"/>
      </w:pPr>
      <w:r>
        <w:t>Summarize the sou</w:t>
      </w:r>
      <w:r w:rsidR="0003410F">
        <w:t>rce type population by 13 and 7-</w:t>
      </w:r>
      <w:r>
        <w:t>county areas separately</w:t>
      </w:r>
    </w:p>
    <w:p w:rsidR="00F6033E" w:rsidRPr="00820EC9" w:rsidRDefault="00F6033E" w:rsidP="00820EC9">
      <w:pPr>
        <w:pStyle w:val="Caption"/>
        <w:keepNext/>
        <w:jc w:val="center"/>
        <w:rPr>
          <w:color w:val="auto"/>
          <w:sz w:val="24"/>
          <w:szCs w:val="24"/>
        </w:rPr>
      </w:pPr>
      <w:r w:rsidRPr="00820EC9">
        <w:rPr>
          <w:color w:val="auto"/>
          <w:sz w:val="24"/>
          <w:szCs w:val="24"/>
        </w:rPr>
        <w:t xml:space="preserve">Table </w:t>
      </w:r>
      <w:r w:rsidR="00820EC9" w:rsidRPr="00820EC9">
        <w:rPr>
          <w:color w:val="auto"/>
          <w:sz w:val="24"/>
          <w:szCs w:val="24"/>
        </w:rPr>
        <w:t>9</w:t>
      </w:r>
      <w:r w:rsidRPr="00820EC9">
        <w:rPr>
          <w:color w:val="auto"/>
          <w:sz w:val="24"/>
          <w:szCs w:val="24"/>
        </w:rPr>
        <w:t xml:space="preserve"> – 2002-2007 Growth Factors used</w:t>
      </w:r>
    </w:p>
    <w:tbl>
      <w:tblPr>
        <w:tblStyle w:val="MediumShading2-Accent1"/>
        <w:tblW w:w="0" w:type="auto"/>
        <w:jc w:val="center"/>
        <w:tblLook w:val="0420"/>
      </w:tblPr>
      <w:tblGrid>
        <w:gridCol w:w="1433"/>
        <w:gridCol w:w="5172"/>
      </w:tblGrid>
      <w:tr w:rsidR="009F32A3" w:rsidRPr="00820EC9" w:rsidTr="00820EC9">
        <w:trPr>
          <w:cnfStyle w:val="100000000000"/>
          <w:jc w:val="center"/>
        </w:trPr>
        <w:tc>
          <w:tcPr>
            <w:tcW w:w="0" w:type="auto"/>
          </w:tcPr>
          <w:p w:rsidR="009F32A3" w:rsidRPr="00820EC9" w:rsidRDefault="009F32A3" w:rsidP="00820EC9">
            <w:pPr>
              <w:jc w:val="center"/>
            </w:pPr>
            <w:r w:rsidRPr="00820EC9">
              <w:t>Vehicle types</w:t>
            </w:r>
          </w:p>
        </w:tc>
        <w:tc>
          <w:tcPr>
            <w:tcW w:w="0" w:type="auto"/>
          </w:tcPr>
          <w:p w:rsidR="009F32A3" w:rsidRPr="00820EC9" w:rsidRDefault="009F32A3" w:rsidP="00820EC9">
            <w:pPr>
              <w:jc w:val="center"/>
            </w:pPr>
            <w:r w:rsidRPr="00820EC9">
              <w:t>Growth factor</w:t>
            </w:r>
          </w:p>
        </w:tc>
      </w:tr>
      <w:tr w:rsidR="009F32A3" w:rsidTr="00820EC9">
        <w:trPr>
          <w:cnfStyle w:val="000000100000"/>
          <w:jc w:val="center"/>
        </w:trPr>
        <w:tc>
          <w:tcPr>
            <w:tcW w:w="0" w:type="auto"/>
          </w:tcPr>
          <w:p w:rsidR="009F32A3" w:rsidRPr="00820EC9" w:rsidRDefault="009F32A3" w:rsidP="00820EC9">
            <w:pPr>
              <w:jc w:val="center"/>
              <w:rPr>
                <w:color w:val="000000"/>
              </w:rPr>
            </w:pPr>
            <w:r w:rsidRPr="00820EC9">
              <w:rPr>
                <w:color w:val="000000"/>
              </w:rPr>
              <w:t>HDBS</w:t>
            </w:r>
          </w:p>
        </w:tc>
        <w:tc>
          <w:tcPr>
            <w:tcW w:w="0" w:type="auto"/>
          </w:tcPr>
          <w:p w:rsidR="009F32A3" w:rsidRPr="00820EC9" w:rsidRDefault="009F32A3" w:rsidP="00820EC9">
            <w:pPr>
              <w:jc w:val="center"/>
              <w:rPr>
                <w:color w:val="000000"/>
              </w:rPr>
            </w:pPr>
            <w:r w:rsidRPr="00820EC9">
              <w:rPr>
                <w:color w:val="000000"/>
              </w:rPr>
              <w:t>Georgia registration data (2003 and 2007), Buses</w:t>
            </w:r>
          </w:p>
        </w:tc>
      </w:tr>
      <w:tr w:rsidR="009F32A3" w:rsidTr="00820EC9">
        <w:trPr>
          <w:jc w:val="center"/>
        </w:trPr>
        <w:tc>
          <w:tcPr>
            <w:tcW w:w="0" w:type="auto"/>
          </w:tcPr>
          <w:p w:rsidR="009F32A3" w:rsidRPr="00820EC9" w:rsidRDefault="009F32A3" w:rsidP="00820EC9">
            <w:pPr>
              <w:jc w:val="center"/>
              <w:rPr>
                <w:color w:val="000000"/>
              </w:rPr>
            </w:pPr>
            <w:r w:rsidRPr="00820EC9">
              <w:rPr>
                <w:color w:val="000000"/>
              </w:rPr>
              <w:t>HDBT</w:t>
            </w:r>
          </w:p>
        </w:tc>
        <w:tc>
          <w:tcPr>
            <w:tcW w:w="0" w:type="auto"/>
          </w:tcPr>
          <w:p w:rsidR="009F32A3" w:rsidRPr="00820EC9" w:rsidRDefault="009F32A3" w:rsidP="00820EC9">
            <w:pPr>
              <w:jc w:val="center"/>
              <w:rPr>
                <w:color w:val="000000"/>
              </w:rPr>
            </w:pPr>
            <w:r w:rsidRPr="00820EC9">
              <w:rPr>
                <w:color w:val="000000"/>
              </w:rPr>
              <w:t>Georgia registration data (2003 and 2007), Buses</w:t>
            </w:r>
          </w:p>
        </w:tc>
      </w:tr>
      <w:tr w:rsidR="009F32A3" w:rsidTr="00820EC9">
        <w:trPr>
          <w:cnfStyle w:val="000000100000"/>
          <w:jc w:val="center"/>
        </w:trPr>
        <w:tc>
          <w:tcPr>
            <w:tcW w:w="0" w:type="auto"/>
          </w:tcPr>
          <w:p w:rsidR="009F32A3" w:rsidRPr="00820EC9" w:rsidRDefault="009F32A3" w:rsidP="00820EC9">
            <w:pPr>
              <w:jc w:val="center"/>
              <w:rPr>
                <w:color w:val="000000"/>
              </w:rPr>
            </w:pPr>
            <w:r w:rsidRPr="00820EC9">
              <w:rPr>
                <w:color w:val="000000"/>
              </w:rPr>
              <w:t>MC</w:t>
            </w:r>
          </w:p>
        </w:tc>
        <w:tc>
          <w:tcPr>
            <w:tcW w:w="0" w:type="auto"/>
          </w:tcPr>
          <w:p w:rsidR="009F32A3" w:rsidRPr="00820EC9" w:rsidRDefault="009F32A3" w:rsidP="00820EC9">
            <w:pPr>
              <w:jc w:val="center"/>
              <w:rPr>
                <w:color w:val="000000"/>
              </w:rPr>
            </w:pPr>
            <w:r w:rsidRPr="00820EC9">
              <w:rPr>
                <w:color w:val="000000"/>
              </w:rPr>
              <w:t>Georgia registration data (2003 and 2007), Motorcycles</w:t>
            </w:r>
          </w:p>
        </w:tc>
      </w:tr>
      <w:tr w:rsidR="009F32A3" w:rsidTr="00820EC9">
        <w:trPr>
          <w:jc w:val="center"/>
        </w:trPr>
        <w:tc>
          <w:tcPr>
            <w:tcW w:w="0" w:type="auto"/>
          </w:tcPr>
          <w:p w:rsidR="009F32A3" w:rsidRPr="00820EC9" w:rsidRDefault="009F32A3" w:rsidP="00820EC9">
            <w:pPr>
              <w:jc w:val="center"/>
              <w:rPr>
                <w:color w:val="000000"/>
              </w:rPr>
            </w:pPr>
            <w:r w:rsidRPr="00820EC9">
              <w:rPr>
                <w:color w:val="000000"/>
              </w:rPr>
              <w:t>All Others</w:t>
            </w:r>
          </w:p>
        </w:tc>
        <w:tc>
          <w:tcPr>
            <w:tcW w:w="0" w:type="auto"/>
          </w:tcPr>
          <w:p w:rsidR="009F32A3" w:rsidRPr="00820EC9" w:rsidRDefault="009F32A3" w:rsidP="00820EC9">
            <w:pPr>
              <w:jc w:val="center"/>
              <w:rPr>
                <w:color w:val="000000"/>
              </w:rPr>
            </w:pPr>
            <w:r w:rsidRPr="00820EC9">
              <w:rPr>
                <w:color w:val="000000"/>
              </w:rPr>
              <w:t>Population 2002 and 2007</w:t>
            </w:r>
          </w:p>
        </w:tc>
      </w:tr>
    </w:tbl>
    <w:p w:rsidR="00745635" w:rsidRDefault="00745635" w:rsidP="00745635">
      <w:pPr>
        <w:jc w:val="both"/>
      </w:pPr>
    </w:p>
    <w:p w:rsidR="009F32A3" w:rsidRDefault="009F32A3" w:rsidP="00745635">
      <w:pPr>
        <w:jc w:val="both"/>
        <w:rPr>
          <w:rFonts w:cs="Times New Roman"/>
        </w:rPr>
      </w:pPr>
      <w:r w:rsidRPr="009F32A3">
        <w:rPr>
          <w:rFonts w:cs="Times New Roman"/>
        </w:rPr>
        <w:t>Vehicle population for source type 62 (long-haul trucks) was recalculated using corresponding VMT and national default ratios of VMT and vehicle population in order to account for activity from trucks not registered but run locally</w:t>
      </w:r>
      <w:r>
        <w:rPr>
          <w:rFonts w:cs="Times New Roman"/>
        </w:rPr>
        <w:t>.</w:t>
      </w:r>
    </w:p>
    <w:p w:rsidR="009F32A3" w:rsidRDefault="009F32A3" w:rsidP="00815A61">
      <w:pPr>
        <w:pStyle w:val="Heading2"/>
      </w:pPr>
      <w:bookmarkStart w:id="55" w:name="_Toc307469387"/>
      <w:bookmarkStart w:id="56" w:name="_Toc307490355"/>
      <w:r>
        <w:t>Vehicle Type VMT</w:t>
      </w:r>
      <w:bookmarkEnd w:id="55"/>
      <w:bookmarkEnd w:id="56"/>
    </w:p>
    <w:p w:rsidR="009F32A3" w:rsidRDefault="009F32A3" w:rsidP="00745635">
      <w:pPr>
        <w:jc w:val="both"/>
        <w:rPr>
          <w:rFonts w:cs="Times New Roman"/>
        </w:rPr>
      </w:pPr>
      <w:r>
        <w:rPr>
          <w:rFonts w:cs="Times New Roman"/>
        </w:rPr>
        <w:t>Vehicle Type VMT is broken into four separate MOVES worksheets (</w:t>
      </w:r>
      <w:proofErr w:type="spellStart"/>
      <w:r>
        <w:rPr>
          <w:rFonts w:cs="Times New Roman"/>
        </w:rPr>
        <w:t>HPMSV</w:t>
      </w:r>
      <w:r w:rsidR="003E4D4C">
        <w:rPr>
          <w:rFonts w:cs="Times New Roman"/>
        </w:rPr>
        <w:t>T</w:t>
      </w:r>
      <w:r w:rsidR="00F74EC7">
        <w:rPr>
          <w:rFonts w:cs="Times New Roman"/>
        </w:rPr>
        <w:t>ypeYear</w:t>
      </w:r>
      <w:proofErr w:type="spellEnd"/>
      <w:r w:rsidR="00F74EC7">
        <w:rPr>
          <w:rFonts w:cs="Times New Roman"/>
        </w:rPr>
        <w:t xml:space="preserve">, </w:t>
      </w:r>
      <w:proofErr w:type="spellStart"/>
      <w:r w:rsidR="00F74EC7">
        <w:rPr>
          <w:rFonts w:cs="Times New Roman"/>
        </w:rPr>
        <w:t>monthVMTFraction</w:t>
      </w:r>
      <w:proofErr w:type="spellEnd"/>
      <w:r w:rsidR="00F74EC7">
        <w:rPr>
          <w:rFonts w:cs="Times New Roman"/>
        </w:rPr>
        <w:t xml:space="preserve">, </w:t>
      </w:r>
      <w:proofErr w:type="spellStart"/>
      <w:r w:rsidR="00F74EC7">
        <w:rPr>
          <w:rFonts w:cs="Times New Roman"/>
        </w:rPr>
        <w:t>dayVMTFraction</w:t>
      </w:r>
      <w:proofErr w:type="spellEnd"/>
      <w:r w:rsidR="00F74EC7">
        <w:rPr>
          <w:rFonts w:cs="Times New Roman"/>
        </w:rPr>
        <w:t xml:space="preserve"> and </w:t>
      </w:r>
      <w:proofErr w:type="spellStart"/>
      <w:r w:rsidR="00F74EC7">
        <w:rPr>
          <w:rFonts w:cs="Times New Roman"/>
        </w:rPr>
        <w:t>h</w:t>
      </w:r>
      <w:r>
        <w:rPr>
          <w:rFonts w:cs="Times New Roman"/>
        </w:rPr>
        <w:t>ourVMTFraction</w:t>
      </w:r>
      <w:proofErr w:type="spellEnd"/>
      <w:r>
        <w:rPr>
          <w:rFonts w:cs="Times New Roman"/>
        </w:rPr>
        <w:t>).  These four variables define travel characteristics in the area of study and are calculated separately or derived from MOVES defaults.</w:t>
      </w:r>
    </w:p>
    <w:p w:rsidR="009F32A3" w:rsidRPr="00783E24" w:rsidRDefault="009F32A3" w:rsidP="00363D0D">
      <w:pPr>
        <w:rPr>
          <w:rFonts w:ascii="Cambria" w:hAnsi="Cambria"/>
          <w:b/>
          <w:color w:val="4F81BD" w:themeColor="accent1"/>
        </w:rPr>
      </w:pPr>
      <w:proofErr w:type="spellStart"/>
      <w:r w:rsidRPr="00783E24">
        <w:rPr>
          <w:rFonts w:ascii="Cambria" w:hAnsi="Cambria"/>
          <w:b/>
          <w:color w:val="4F81BD" w:themeColor="accent1"/>
        </w:rPr>
        <w:t>HPMSV</w:t>
      </w:r>
      <w:r w:rsidR="003E4D4C" w:rsidRPr="00783E24">
        <w:rPr>
          <w:rFonts w:ascii="Cambria" w:hAnsi="Cambria"/>
          <w:b/>
          <w:color w:val="4F81BD" w:themeColor="accent1"/>
        </w:rPr>
        <w:t>T</w:t>
      </w:r>
      <w:r w:rsidRPr="00783E24">
        <w:rPr>
          <w:rFonts w:ascii="Cambria" w:hAnsi="Cambria"/>
          <w:b/>
          <w:color w:val="4F81BD" w:themeColor="accent1"/>
        </w:rPr>
        <w:t>ypeYear</w:t>
      </w:r>
      <w:proofErr w:type="spellEnd"/>
    </w:p>
    <w:p w:rsidR="009F32A3" w:rsidRDefault="009F32A3" w:rsidP="00745635">
      <w:pPr>
        <w:jc w:val="both"/>
        <w:rPr>
          <w:rFonts w:cs="Times New Roman"/>
        </w:rPr>
      </w:pPr>
      <w:r w:rsidRPr="00A6739B">
        <w:rPr>
          <w:rFonts w:cs="Times New Roman"/>
        </w:rPr>
        <w:t xml:space="preserve">The weekday VMT is summarized by MOVES </w:t>
      </w:r>
      <w:proofErr w:type="spellStart"/>
      <w:r w:rsidRPr="00A6739B">
        <w:rPr>
          <w:rFonts w:cs="Times New Roman"/>
        </w:rPr>
        <w:t>roadtype</w:t>
      </w:r>
      <w:proofErr w:type="spellEnd"/>
      <w:r w:rsidRPr="00A6739B">
        <w:rPr>
          <w:rFonts w:cs="Times New Roman"/>
        </w:rPr>
        <w:t xml:space="preserve"> and then weighted by the vehicle classification counts</w:t>
      </w:r>
      <w:r w:rsidRPr="00A6739B">
        <w:rPr>
          <w:rFonts w:cs="Times New Roman"/>
          <w:vertAlign w:val="superscript"/>
        </w:rPr>
        <w:footnoteReference w:id="18"/>
      </w:r>
      <w:r w:rsidR="0003410F">
        <w:rPr>
          <w:rFonts w:cs="Times New Roman"/>
        </w:rPr>
        <w:t xml:space="preserve"> for the 13 or 7-</w:t>
      </w:r>
      <w:r w:rsidRPr="00A6739B">
        <w:rPr>
          <w:rFonts w:cs="Times New Roman"/>
        </w:rPr>
        <w:t>county area by the 6 HPMS vehicle types.  The fractions for vehicle type 20 and 30 are then re-distributed based on the MOVES source vehicle defaults for the year.  This is because the vehicle classification counts are collected using counters which count vehicles by the number of axles and as a result, the counts do not accurately reflect the difference between passenger cars and SUVs.  The daily VMT is annualized using the EPA AADVMT Calculator Excel workbook.</w:t>
      </w:r>
    </w:p>
    <w:p w:rsidR="0098780A" w:rsidRDefault="0098780A" w:rsidP="00363D0D">
      <w:pPr>
        <w:rPr>
          <w:rFonts w:ascii="Cambria" w:hAnsi="Cambria"/>
          <w:b/>
          <w:color w:val="4F81BD" w:themeColor="accent1"/>
        </w:rPr>
      </w:pPr>
    </w:p>
    <w:p w:rsidR="0098780A" w:rsidRDefault="0098780A" w:rsidP="00363D0D">
      <w:pPr>
        <w:rPr>
          <w:rFonts w:ascii="Cambria" w:hAnsi="Cambria"/>
          <w:b/>
          <w:color w:val="4F81BD" w:themeColor="accent1"/>
        </w:rPr>
      </w:pPr>
    </w:p>
    <w:p w:rsidR="009F32A3" w:rsidRPr="00783E24" w:rsidRDefault="003E4D4C" w:rsidP="00363D0D">
      <w:pPr>
        <w:rPr>
          <w:rFonts w:ascii="Cambria" w:hAnsi="Cambria"/>
          <w:b/>
          <w:color w:val="4F81BD" w:themeColor="accent1"/>
        </w:rPr>
      </w:pPr>
      <w:proofErr w:type="spellStart"/>
      <w:proofErr w:type="gramStart"/>
      <w:r w:rsidRPr="00783E24">
        <w:rPr>
          <w:rFonts w:ascii="Cambria" w:hAnsi="Cambria"/>
          <w:b/>
          <w:color w:val="4F81BD" w:themeColor="accent1"/>
        </w:rPr>
        <w:lastRenderedPageBreak/>
        <w:t>monthVMTFraction</w:t>
      </w:r>
      <w:proofErr w:type="spellEnd"/>
      <w:proofErr w:type="gramEnd"/>
      <w:r w:rsidRPr="00783E24">
        <w:rPr>
          <w:rFonts w:ascii="Cambria" w:hAnsi="Cambria"/>
          <w:b/>
          <w:color w:val="4F81BD" w:themeColor="accent1"/>
        </w:rPr>
        <w:t xml:space="preserve"> and </w:t>
      </w:r>
      <w:proofErr w:type="spellStart"/>
      <w:r w:rsidRPr="00783E24">
        <w:rPr>
          <w:rFonts w:ascii="Cambria" w:hAnsi="Cambria"/>
          <w:b/>
          <w:color w:val="4F81BD" w:themeColor="accent1"/>
        </w:rPr>
        <w:t>d</w:t>
      </w:r>
      <w:r w:rsidR="009F32A3" w:rsidRPr="00783E24">
        <w:rPr>
          <w:rFonts w:ascii="Cambria" w:hAnsi="Cambria"/>
          <w:b/>
          <w:color w:val="4F81BD" w:themeColor="accent1"/>
        </w:rPr>
        <w:t>ayVMTFraction</w:t>
      </w:r>
      <w:proofErr w:type="spellEnd"/>
    </w:p>
    <w:p w:rsidR="009F32A3" w:rsidRDefault="009F32A3" w:rsidP="00745635">
      <w:pPr>
        <w:jc w:val="both"/>
        <w:rPr>
          <w:rFonts w:cs="Times New Roman"/>
        </w:rPr>
      </w:pPr>
      <w:r>
        <w:rPr>
          <w:rFonts w:cs="Times New Roman"/>
        </w:rPr>
        <w:t>MOVES national defaults were used for these two inputs</w:t>
      </w:r>
      <w:r w:rsidR="0098780A">
        <w:rPr>
          <w:rFonts w:cs="Times New Roman"/>
        </w:rPr>
        <w:t xml:space="preserve"> because reliable local data was not available</w:t>
      </w:r>
      <w:r>
        <w:rPr>
          <w:rFonts w:cs="Times New Roman"/>
        </w:rPr>
        <w:t>.</w:t>
      </w:r>
      <w:r w:rsidR="0098780A">
        <w:rPr>
          <w:rFonts w:cs="Times New Roman"/>
        </w:rPr>
        <w:t xml:space="preserve">  The regional travel demand model is developed for an average weekday.  The vehicle classification counts used for some analyses were not collected to be statistically reliable by day of week or monthly basis.</w:t>
      </w:r>
    </w:p>
    <w:p w:rsidR="009F32A3" w:rsidRPr="00783E24" w:rsidRDefault="003E4D4C" w:rsidP="00363D0D">
      <w:pPr>
        <w:rPr>
          <w:rFonts w:ascii="Cambria" w:hAnsi="Cambria"/>
          <w:b/>
          <w:color w:val="4F81BD" w:themeColor="accent1"/>
        </w:rPr>
      </w:pPr>
      <w:proofErr w:type="spellStart"/>
      <w:proofErr w:type="gramStart"/>
      <w:r w:rsidRPr="00783E24">
        <w:rPr>
          <w:rFonts w:ascii="Cambria" w:hAnsi="Cambria"/>
          <w:b/>
          <w:color w:val="4F81BD" w:themeColor="accent1"/>
        </w:rPr>
        <w:t>h</w:t>
      </w:r>
      <w:r w:rsidR="009F32A3" w:rsidRPr="00783E24">
        <w:rPr>
          <w:rFonts w:ascii="Cambria" w:hAnsi="Cambria"/>
          <w:b/>
          <w:color w:val="4F81BD" w:themeColor="accent1"/>
        </w:rPr>
        <w:t>ourVMTFraction</w:t>
      </w:r>
      <w:proofErr w:type="spellEnd"/>
      <w:proofErr w:type="gramEnd"/>
    </w:p>
    <w:p w:rsidR="009F32A3" w:rsidRDefault="009F32A3" w:rsidP="00745635">
      <w:pPr>
        <w:jc w:val="both"/>
        <w:rPr>
          <w:rFonts w:cs="Times New Roman"/>
        </w:rPr>
      </w:pPr>
      <w:r w:rsidRPr="009F32A3">
        <w:rPr>
          <w:rFonts w:cs="Times New Roman"/>
          <w:color w:val="000000"/>
        </w:rPr>
        <w:t xml:space="preserve"> </w:t>
      </w:r>
      <w:r w:rsidRPr="00A6739B">
        <w:rPr>
          <w:rFonts w:cs="Times New Roman"/>
          <w:color w:val="000000"/>
        </w:rPr>
        <w:t xml:space="preserve">The weekday link hourly VMT is summarized by </w:t>
      </w:r>
      <w:proofErr w:type="spellStart"/>
      <w:r w:rsidRPr="00A6739B">
        <w:rPr>
          <w:rFonts w:cs="Times New Roman"/>
          <w:color w:val="000000"/>
        </w:rPr>
        <w:t>roadtype</w:t>
      </w:r>
      <w:proofErr w:type="spellEnd"/>
      <w:r w:rsidRPr="00A6739B">
        <w:rPr>
          <w:rFonts w:cs="Times New Roman"/>
          <w:color w:val="000000"/>
        </w:rPr>
        <w:t xml:space="preserve"> and hour. The MOVES defaults for the 13 source types by year are used to allocate to vehicle type.  The fraction of VMT by road type and vehicle type is calculated where the fractions sum to one for each vehicle type by </w:t>
      </w:r>
      <w:proofErr w:type="spellStart"/>
      <w:r w:rsidRPr="00A6739B">
        <w:rPr>
          <w:rFonts w:cs="Times New Roman"/>
          <w:color w:val="000000"/>
        </w:rPr>
        <w:t>roadtype</w:t>
      </w:r>
      <w:proofErr w:type="spellEnd"/>
      <w:r w:rsidRPr="00A6739B">
        <w:rPr>
          <w:rFonts w:cs="Times New Roman"/>
          <w:color w:val="000000"/>
        </w:rPr>
        <w:t xml:space="preserve">. </w:t>
      </w:r>
      <w:r>
        <w:rPr>
          <w:rFonts w:cs="Times New Roman"/>
          <w:color w:val="000000"/>
        </w:rPr>
        <w:t xml:space="preserve">This variable </w:t>
      </w:r>
      <w:r w:rsidRPr="00A6739B">
        <w:rPr>
          <w:rFonts w:cs="Times New Roman"/>
          <w:color w:val="000000"/>
        </w:rPr>
        <w:t>must sum to 1 for each source type-road type-type of day combination.</w:t>
      </w:r>
    </w:p>
    <w:p w:rsidR="00E54FD7" w:rsidRDefault="00E54FD7">
      <w:pPr>
        <w:rPr>
          <w:rFonts w:asciiTheme="majorHAnsi" w:eastAsiaTheme="majorEastAsia" w:hAnsiTheme="majorHAnsi" w:cstheme="majorBidi"/>
          <w:b/>
          <w:bCs/>
          <w:color w:val="365F91" w:themeColor="accent1" w:themeShade="BF"/>
          <w:sz w:val="28"/>
          <w:szCs w:val="28"/>
        </w:rPr>
      </w:pPr>
      <w:r>
        <w:br w:type="page"/>
      </w:r>
    </w:p>
    <w:p w:rsidR="00F63BB2" w:rsidRPr="00196B6B" w:rsidRDefault="00CE7679" w:rsidP="008F6D63">
      <w:pPr>
        <w:pStyle w:val="Heading1"/>
        <w:spacing w:after="200"/>
      </w:pPr>
      <w:bookmarkStart w:id="57" w:name="_Toc307469388"/>
      <w:bookmarkStart w:id="58" w:name="_Toc307490356"/>
      <w:r w:rsidRPr="00196B6B">
        <w:lastRenderedPageBreak/>
        <w:t>Off-Model Putnam County Mobile Emissions Analysis</w:t>
      </w:r>
      <w:bookmarkEnd w:id="57"/>
      <w:bookmarkEnd w:id="58"/>
    </w:p>
    <w:p w:rsidR="002A52A7" w:rsidRDefault="00196B6B" w:rsidP="008F6D63">
      <w:pPr>
        <w:jc w:val="both"/>
      </w:pPr>
      <w:r>
        <w:t xml:space="preserve">The </w:t>
      </w:r>
      <w:r w:rsidR="00C80251">
        <w:t>Atlanta</w:t>
      </w:r>
      <w:r>
        <w:t xml:space="preserve"> PM</w:t>
      </w:r>
      <w:r w:rsidR="009A4AD0" w:rsidRPr="009A4AD0">
        <w:rPr>
          <w:vertAlign w:val="subscript"/>
        </w:rPr>
        <w:t>2.5</w:t>
      </w:r>
      <w:r>
        <w:t xml:space="preserve"> Nonattainment Area includes small parts of two counties, Heard and Putnam, which fall outside of the core 20 whole counties which make up the eight-hour ozone and PM</w:t>
      </w:r>
      <w:r w:rsidR="009A4AD0" w:rsidRPr="009A4AD0">
        <w:rPr>
          <w:vertAlign w:val="subscript"/>
        </w:rPr>
        <w:t>2.5</w:t>
      </w:r>
      <w:r>
        <w:t xml:space="preserve"> nonattainment areas.  A travel model is not in place for these counties.  </w:t>
      </w:r>
      <w:r w:rsidR="00C80251">
        <w:t>According to the Transportation Conformity Rule 93.122(a)(7), reasonable methods shall be used to estimate nonattainment or maintenance area VMT on off-network roadways within the urban transportation planning area, and on roadways outside the urban transportation planning area.  Therefore, a</w:t>
      </w:r>
      <w:r>
        <w:t xml:space="preserve"> revised off-travel model technique was developed to estimate average annual daily VMT </w:t>
      </w:r>
      <w:r w:rsidR="009C04BC">
        <w:t>for use in the MOVES model in the</w:t>
      </w:r>
      <w:r>
        <w:t xml:space="preserve"> partial county area</w:t>
      </w:r>
      <w:r w:rsidR="00050C49">
        <w:t>s</w:t>
      </w:r>
      <w:r w:rsidR="002A52A7">
        <w:t>.</w:t>
      </w:r>
    </w:p>
    <w:p w:rsidR="00196B6B" w:rsidRDefault="002A52A7" w:rsidP="00C80251">
      <w:pPr>
        <w:jc w:val="both"/>
      </w:pPr>
      <w:r>
        <w:t xml:space="preserve">For Heard County the roads identified are private roads that service Georgia Power’s Plant </w:t>
      </w:r>
      <w:proofErr w:type="spellStart"/>
      <w:r>
        <w:t>Wansley</w:t>
      </w:r>
      <w:proofErr w:type="spellEnd"/>
      <w:r>
        <w:t>.  These roads do not experience through-traffic and</w:t>
      </w:r>
      <w:r w:rsidR="00050C49">
        <w:t>, therefore,</w:t>
      </w:r>
      <w:r>
        <w:t xml:space="preserve"> do not need to be included in the regional emission analysis.  As such, this methodology only applies to Putnam County.</w:t>
      </w:r>
    </w:p>
    <w:p w:rsidR="009C04BC" w:rsidRDefault="009C04BC" w:rsidP="00C80251">
      <w:pPr>
        <w:jc w:val="both"/>
      </w:pPr>
      <w:r>
        <w:t xml:space="preserve">Like the 7 and 13-county portions, a MOVES run was prepared for Putnam County using the inputs described in </w:t>
      </w:r>
      <w:r w:rsidR="00454736">
        <w:t>Table 10</w:t>
      </w:r>
      <w:r>
        <w:t xml:space="preserve">.  Travel characteristics </w:t>
      </w:r>
      <w:r w:rsidR="00414105">
        <w:t>in Putnam County were considered to b</w:t>
      </w:r>
      <w:r w:rsidR="00050C49">
        <w:t>e similar to the 7-county outer-</w:t>
      </w:r>
      <w:r w:rsidR="00414105">
        <w:t xml:space="preserve">portion of the Atlanta Nonattainment Area.  These characteristics were mixed with data from GDOT’s 445 VMT reports and state data to generate the necessary inputs to produce </w:t>
      </w:r>
      <w:proofErr w:type="gramStart"/>
      <w:r w:rsidR="00050C49">
        <w:t xml:space="preserve">a </w:t>
      </w:r>
      <w:r w:rsidR="00C6491B">
        <w:t>MOVES</w:t>
      </w:r>
      <w:proofErr w:type="gramEnd"/>
      <w:r w:rsidR="00414105">
        <w:t xml:space="preserve"> run for the entirety of Putnam County.</w:t>
      </w:r>
    </w:p>
    <w:p w:rsidR="00414105" w:rsidRPr="00454736" w:rsidRDefault="00414105" w:rsidP="00454736">
      <w:pPr>
        <w:jc w:val="center"/>
        <w:rPr>
          <w:b/>
          <w:sz w:val="24"/>
          <w:szCs w:val="24"/>
        </w:rPr>
      </w:pPr>
      <w:r w:rsidRPr="00454736">
        <w:rPr>
          <w:b/>
          <w:sz w:val="24"/>
          <w:szCs w:val="24"/>
        </w:rPr>
        <w:t xml:space="preserve">Table </w:t>
      </w:r>
      <w:r w:rsidR="00454736">
        <w:rPr>
          <w:b/>
          <w:sz w:val="24"/>
          <w:szCs w:val="24"/>
        </w:rPr>
        <w:t>10</w:t>
      </w:r>
      <w:r w:rsidR="00C668F1" w:rsidRPr="00454736">
        <w:rPr>
          <w:b/>
          <w:sz w:val="24"/>
          <w:szCs w:val="24"/>
        </w:rPr>
        <w:t xml:space="preserve"> – Putnam County MOVES County Data Manager Inputs</w:t>
      </w:r>
      <w:r w:rsidR="003E4D4C" w:rsidRPr="00454736">
        <w:rPr>
          <w:rStyle w:val="FootnoteReference"/>
          <w:rFonts w:asciiTheme="minorHAnsi" w:hAnsiTheme="minorHAnsi"/>
          <w:b/>
          <w:sz w:val="24"/>
          <w:szCs w:val="24"/>
        </w:rPr>
        <w:footnoteReference w:id="19"/>
      </w:r>
    </w:p>
    <w:tbl>
      <w:tblPr>
        <w:tblStyle w:val="MediumShading2-Accent11"/>
        <w:tblW w:w="9692" w:type="dxa"/>
        <w:jc w:val="center"/>
        <w:tblLook w:val="0420"/>
      </w:tblPr>
      <w:tblGrid>
        <w:gridCol w:w="1741"/>
        <w:gridCol w:w="236"/>
        <w:gridCol w:w="7715"/>
      </w:tblGrid>
      <w:tr w:rsidR="0013299B" w:rsidTr="008F6D63">
        <w:trPr>
          <w:cnfStyle w:val="100000000000"/>
          <w:cantSplit/>
          <w:tblHeader/>
          <w:jc w:val="center"/>
        </w:trPr>
        <w:tc>
          <w:tcPr>
            <w:tcW w:w="1741" w:type="dxa"/>
            <w:tcBorders>
              <w:right w:val="single" w:sz="4" w:space="0" w:color="FFFFFF" w:themeColor="background1"/>
            </w:tcBorders>
            <w:vAlign w:val="center"/>
          </w:tcPr>
          <w:p w:rsidR="0013299B" w:rsidRPr="00AD5DCC" w:rsidRDefault="0013299B" w:rsidP="00AD5DCC">
            <w:pPr>
              <w:jc w:val="center"/>
            </w:pPr>
            <w:r w:rsidRPr="00AD5DCC">
              <w:t>MOVES Input</w:t>
            </w:r>
          </w:p>
        </w:tc>
        <w:tc>
          <w:tcPr>
            <w:tcW w:w="236" w:type="dxa"/>
            <w:tcBorders>
              <w:left w:val="single" w:sz="4" w:space="0" w:color="FFFFFF" w:themeColor="background1"/>
            </w:tcBorders>
            <w:vAlign w:val="center"/>
          </w:tcPr>
          <w:p w:rsidR="0013299B" w:rsidRPr="00AD5DCC" w:rsidRDefault="0013299B" w:rsidP="0013299B">
            <w:pPr>
              <w:jc w:val="center"/>
              <w:rPr>
                <w:b w:val="0"/>
                <w:bCs w:val="0"/>
              </w:rPr>
            </w:pPr>
          </w:p>
        </w:tc>
        <w:tc>
          <w:tcPr>
            <w:tcW w:w="0" w:type="auto"/>
            <w:vAlign w:val="center"/>
          </w:tcPr>
          <w:p w:rsidR="0013299B" w:rsidRPr="00AD5DCC" w:rsidRDefault="0013299B" w:rsidP="00AD5DCC">
            <w:pPr>
              <w:jc w:val="center"/>
            </w:pPr>
            <w:r w:rsidRPr="00AD5DCC">
              <w:t>Data Source</w:t>
            </w:r>
          </w:p>
        </w:tc>
      </w:tr>
      <w:tr w:rsidR="0013299B" w:rsidTr="008F6D63">
        <w:trPr>
          <w:cnfStyle w:val="000000100000"/>
          <w:cantSplit/>
          <w:jc w:val="center"/>
        </w:trPr>
        <w:tc>
          <w:tcPr>
            <w:tcW w:w="1741" w:type="dxa"/>
            <w:tcBorders>
              <w:right w:val="single" w:sz="4" w:space="0" w:color="FFFFFF" w:themeColor="background1"/>
            </w:tcBorders>
            <w:vAlign w:val="center"/>
          </w:tcPr>
          <w:p w:rsidR="0013299B" w:rsidRDefault="0013299B" w:rsidP="00AD5DCC">
            <w:r>
              <w:t>Age Distribution</w:t>
            </w:r>
          </w:p>
        </w:tc>
        <w:tc>
          <w:tcPr>
            <w:tcW w:w="236" w:type="dxa"/>
            <w:tcBorders>
              <w:left w:val="single" w:sz="4" w:space="0" w:color="FFFFFF" w:themeColor="background1"/>
            </w:tcBorders>
            <w:vAlign w:val="center"/>
          </w:tcPr>
          <w:p w:rsidR="0013299B" w:rsidRDefault="0013299B" w:rsidP="0013299B"/>
        </w:tc>
        <w:tc>
          <w:tcPr>
            <w:tcW w:w="0" w:type="auto"/>
            <w:vAlign w:val="center"/>
          </w:tcPr>
          <w:p w:rsidR="0013299B" w:rsidRDefault="0013299B" w:rsidP="00AD5DCC">
            <w:r>
              <w:t>Derived from the 139 county average of R.L. Polk Data</w:t>
            </w:r>
          </w:p>
        </w:tc>
      </w:tr>
      <w:tr w:rsidR="0013299B" w:rsidTr="008F6D63">
        <w:trPr>
          <w:cantSplit/>
          <w:jc w:val="center"/>
        </w:trPr>
        <w:tc>
          <w:tcPr>
            <w:tcW w:w="1741" w:type="dxa"/>
            <w:tcBorders>
              <w:right w:val="single" w:sz="4" w:space="0" w:color="FFFFFF" w:themeColor="background1"/>
            </w:tcBorders>
            <w:vAlign w:val="center"/>
          </w:tcPr>
          <w:p w:rsidR="0013299B" w:rsidRDefault="0013299B" w:rsidP="00AD5DCC">
            <w:r>
              <w:t>Source Type Population</w:t>
            </w:r>
          </w:p>
        </w:tc>
        <w:tc>
          <w:tcPr>
            <w:tcW w:w="236" w:type="dxa"/>
            <w:tcBorders>
              <w:left w:val="single" w:sz="4" w:space="0" w:color="FFFFFF" w:themeColor="background1"/>
            </w:tcBorders>
            <w:vAlign w:val="center"/>
          </w:tcPr>
          <w:p w:rsidR="0013299B" w:rsidRDefault="0013299B"/>
          <w:p w:rsidR="0013299B" w:rsidRDefault="0013299B" w:rsidP="0013299B"/>
        </w:tc>
        <w:tc>
          <w:tcPr>
            <w:tcW w:w="0" w:type="auto"/>
            <w:vAlign w:val="center"/>
          </w:tcPr>
          <w:p w:rsidR="0013299B" w:rsidRDefault="0013299B" w:rsidP="00050C49">
            <w:r>
              <w:t>Grown from the 2002 R.L. Polk data based on human</w:t>
            </w:r>
            <w:r w:rsidR="00050C49">
              <w:t xml:space="preserve"> population estimates from the Georgia</w:t>
            </w:r>
            <w:r>
              <w:t xml:space="preserve"> </w:t>
            </w:r>
            <w:r w:rsidR="00050C49">
              <w:t>O</w:t>
            </w:r>
            <w:r>
              <w:t>ffice of Planning and Budget</w:t>
            </w:r>
          </w:p>
        </w:tc>
      </w:tr>
      <w:tr w:rsidR="0013299B" w:rsidTr="008F6D63">
        <w:trPr>
          <w:cnfStyle w:val="000000100000"/>
          <w:cantSplit/>
          <w:jc w:val="center"/>
        </w:trPr>
        <w:tc>
          <w:tcPr>
            <w:tcW w:w="1741" w:type="dxa"/>
            <w:tcBorders>
              <w:right w:val="single" w:sz="4" w:space="0" w:color="FFFFFF" w:themeColor="background1"/>
            </w:tcBorders>
            <w:vAlign w:val="center"/>
          </w:tcPr>
          <w:p w:rsidR="0013299B" w:rsidRDefault="0013299B" w:rsidP="00AD5DCC">
            <w:r>
              <w:t>Fuel</w:t>
            </w:r>
          </w:p>
        </w:tc>
        <w:tc>
          <w:tcPr>
            <w:tcW w:w="236" w:type="dxa"/>
            <w:tcBorders>
              <w:left w:val="single" w:sz="4" w:space="0" w:color="FFFFFF" w:themeColor="background1"/>
            </w:tcBorders>
            <w:vAlign w:val="center"/>
          </w:tcPr>
          <w:p w:rsidR="0013299B" w:rsidRDefault="0013299B" w:rsidP="0013299B"/>
        </w:tc>
        <w:tc>
          <w:tcPr>
            <w:tcW w:w="0" w:type="auto"/>
            <w:vAlign w:val="center"/>
          </w:tcPr>
          <w:p w:rsidR="0013299B" w:rsidRDefault="0013299B" w:rsidP="00AD5DCC">
            <w:r>
              <w:t>Annualized MOVES Defaults for Putnam County</w:t>
            </w:r>
          </w:p>
        </w:tc>
      </w:tr>
      <w:tr w:rsidR="0013299B" w:rsidTr="008F6D63">
        <w:trPr>
          <w:cantSplit/>
          <w:jc w:val="center"/>
        </w:trPr>
        <w:tc>
          <w:tcPr>
            <w:tcW w:w="1741" w:type="dxa"/>
            <w:tcBorders>
              <w:right w:val="single" w:sz="4" w:space="0" w:color="FFFFFF" w:themeColor="background1"/>
            </w:tcBorders>
            <w:vAlign w:val="center"/>
          </w:tcPr>
          <w:p w:rsidR="0013299B" w:rsidRDefault="0013299B" w:rsidP="00AD5DCC">
            <w:r>
              <w:t>Meteorology</w:t>
            </w:r>
          </w:p>
        </w:tc>
        <w:tc>
          <w:tcPr>
            <w:tcW w:w="236" w:type="dxa"/>
            <w:tcBorders>
              <w:left w:val="single" w:sz="4" w:space="0" w:color="FFFFFF" w:themeColor="background1"/>
            </w:tcBorders>
            <w:vAlign w:val="center"/>
          </w:tcPr>
          <w:p w:rsidR="0013299B" w:rsidRDefault="0013299B" w:rsidP="0013299B"/>
        </w:tc>
        <w:tc>
          <w:tcPr>
            <w:tcW w:w="0" w:type="auto"/>
            <w:vAlign w:val="center"/>
          </w:tcPr>
          <w:p w:rsidR="0013299B" w:rsidRDefault="0013299B" w:rsidP="00AD5DCC">
            <w:r>
              <w:t>Annualized 20-county meteorology for 2008</w:t>
            </w:r>
          </w:p>
        </w:tc>
      </w:tr>
      <w:tr w:rsidR="0013299B" w:rsidTr="008F6D63">
        <w:trPr>
          <w:cnfStyle w:val="000000100000"/>
          <w:cantSplit/>
          <w:jc w:val="center"/>
        </w:trPr>
        <w:tc>
          <w:tcPr>
            <w:tcW w:w="1741" w:type="dxa"/>
            <w:tcBorders>
              <w:right w:val="single" w:sz="4" w:space="0" w:color="FFFFFF" w:themeColor="background1"/>
            </w:tcBorders>
            <w:vAlign w:val="center"/>
          </w:tcPr>
          <w:p w:rsidR="0013299B" w:rsidRDefault="0013299B" w:rsidP="00AD5DCC">
            <w:r>
              <w:t>Vehicle Type VMT</w:t>
            </w:r>
          </w:p>
        </w:tc>
        <w:tc>
          <w:tcPr>
            <w:tcW w:w="236" w:type="dxa"/>
            <w:tcBorders>
              <w:left w:val="single" w:sz="4" w:space="0" w:color="FFFFFF" w:themeColor="background1"/>
            </w:tcBorders>
            <w:vAlign w:val="center"/>
          </w:tcPr>
          <w:p w:rsidR="0013299B" w:rsidRDefault="0013299B" w:rsidP="0013299B"/>
        </w:tc>
        <w:tc>
          <w:tcPr>
            <w:tcW w:w="0" w:type="auto"/>
            <w:vAlign w:val="center"/>
          </w:tcPr>
          <w:p w:rsidR="0013299B" w:rsidRDefault="0013299B" w:rsidP="00AD5DCC">
            <w:pPr>
              <w:pStyle w:val="ListParagraph"/>
              <w:numPr>
                <w:ilvl w:val="0"/>
                <w:numId w:val="1"/>
              </w:numPr>
            </w:pPr>
            <w:proofErr w:type="spellStart"/>
            <w:r>
              <w:t>HPMSvTypeYr</w:t>
            </w:r>
            <w:proofErr w:type="spellEnd"/>
            <w:r>
              <w:t xml:space="preserve"> – derived from the GDOT 445 workbooks with MOVES default source type fraction break outs and converted using the EPA provided AADVMT calculator</w:t>
            </w:r>
          </w:p>
          <w:p w:rsidR="0013299B" w:rsidRDefault="0013299B" w:rsidP="00AD5DCC">
            <w:pPr>
              <w:pStyle w:val="ListParagraph"/>
              <w:numPr>
                <w:ilvl w:val="0"/>
                <w:numId w:val="1"/>
              </w:numPr>
            </w:pPr>
            <w:r>
              <w:t>Month and Daily Fractions – MOVES defaults</w:t>
            </w:r>
          </w:p>
          <w:p w:rsidR="0013299B" w:rsidRDefault="0013299B" w:rsidP="00AD5DCC">
            <w:pPr>
              <w:pStyle w:val="ListParagraph"/>
              <w:numPr>
                <w:ilvl w:val="0"/>
                <w:numId w:val="1"/>
              </w:numPr>
            </w:pPr>
            <w:r>
              <w:t>Hourly Fractions – Taken from 7-county portion of travel model post-processing</w:t>
            </w:r>
          </w:p>
        </w:tc>
      </w:tr>
      <w:tr w:rsidR="0013299B" w:rsidTr="008F6D63">
        <w:trPr>
          <w:cantSplit/>
          <w:jc w:val="center"/>
        </w:trPr>
        <w:tc>
          <w:tcPr>
            <w:tcW w:w="1741" w:type="dxa"/>
            <w:tcBorders>
              <w:right w:val="single" w:sz="4" w:space="0" w:color="FFFFFF" w:themeColor="background1"/>
            </w:tcBorders>
            <w:vAlign w:val="center"/>
          </w:tcPr>
          <w:p w:rsidR="0013299B" w:rsidRDefault="0013299B" w:rsidP="00AD5DCC">
            <w:r>
              <w:t>Road Type Distribution</w:t>
            </w:r>
          </w:p>
        </w:tc>
        <w:tc>
          <w:tcPr>
            <w:tcW w:w="236" w:type="dxa"/>
            <w:tcBorders>
              <w:left w:val="single" w:sz="4" w:space="0" w:color="FFFFFF" w:themeColor="background1"/>
            </w:tcBorders>
            <w:vAlign w:val="center"/>
          </w:tcPr>
          <w:p w:rsidR="0013299B" w:rsidRDefault="0013299B"/>
          <w:p w:rsidR="0013299B" w:rsidRDefault="0013299B" w:rsidP="0013299B"/>
        </w:tc>
        <w:tc>
          <w:tcPr>
            <w:tcW w:w="0" w:type="auto"/>
            <w:vAlign w:val="center"/>
          </w:tcPr>
          <w:p w:rsidR="0013299B" w:rsidRDefault="0013299B" w:rsidP="00AD5DCC">
            <w:r>
              <w:t>Taken from the 7-county portion of the travel model post-processing</w:t>
            </w:r>
          </w:p>
        </w:tc>
      </w:tr>
      <w:tr w:rsidR="0013299B" w:rsidTr="008F6D63">
        <w:trPr>
          <w:cnfStyle w:val="000000100000"/>
          <w:cantSplit/>
          <w:jc w:val="center"/>
        </w:trPr>
        <w:tc>
          <w:tcPr>
            <w:tcW w:w="1741" w:type="dxa"/>
            <w:tcBorders>
              <w:right w:val="single" w:sz="4" w:space="0" w:color="FFFFFF" w:themeColor="background1"/>
            </w:tcBorders>
            <w:vAlign w:val="center"/>
          </w:tcPr>
          <w:p w:rsidR="0013299B" w:rsidRDefault="0013299B" w:rsidP="00AD5DCC">
            <w:r>
              <w:t>Average Speed Distribution</w:t>
            </w:r>
          </w:p>
        </w:tc>
        <w:tc>
          <w:tcPr>
            <w:tcW w:w="236" w:type="dxa"/>
            <w:tcBorders>
              <w:left w:val="single" w:sz="4" w:space="0" w:color="FFFFFF" w:themeColor="background1"/>
            </w:tcBorders>
            <w:vAlign w:val="center"/>
          </w:tcPr>
          <w:p w:rsidR="0013299B" w:rsidRDefault="0013299B"/>
          <w:p w:rsidR="0013299B" w:rsidRDefault="0013299B" w:rsidP="0013299B"/>
        </w:tc>
        <w:tc>
          <w:tcPr>
            <w:tcW w:w="0" w:type="auto"/>
            <w:vAlign w:val="center"/>
          </w:tcPr>
          <w:p w:rsidR="0013299B" w:rsidRDefault="0013299B" w:rsidP="00AD5DCC">
            <w:r>
              <w:t>Taken from the 7-county portion of the travel model post-processing</w:t>
            </w:r>
          </w:p>
        </w:tc>
      </w:tr>
      <w:tr w:rsidR="0013299B" w:rsidTr="008F6D63">
        <w:trPr>
          <w:cantSplit/>
          <w:jc w:val="center"/>
        </w:trPr>
        <w:tc>
          <w:tcPr>
            <w:tcW w:w="1741" w:type="dxa"/>
            <w:tcBorders>
              <w:right w:val="single" w:sz="4" w:space="0" w:color="FFFFFF" w:themeColor="background1"/>
            </w:tcBorders>
            <w:vAlign w:val="center"/>
          </w:tcPr>
          <w:p w:rsidR="0013299B" w:rsidRDefault="0013299B" w:rsidP="00AD5DCC">
            <w:r>
              <w:t>Ramp Fraction</w:t>
            </w:r>
          </w:p>
        </w:tc>
        <w:tc>
          <w:tcPr>
            <w:tcW w:w="236" w:type="dxa"/>
            <w:tcBorders>
              <w:left w:val="single" w:sz="4" w:space="0" w:color="FFFFFF" w:themeColor="background1"/>
            </w:tcBorders>
            <w:vAlign w:val="center"/>
          </w:tcPr>
          <w:p w:rsidR="0013299B" w:rsidRDefault="0013299B" w:rsidP="0013299B"/>
        </w:tc>
        <w:tc>
          <w:tcPr>
            <w:tcW w:w="0" w:type="auto"/>
            <w:vAlign w:val="center"/>
          </w:tcPr>
          <w:p w:rsidR="0013299B" w:rsidRDefault="0013299B" w:rsidP="00AD5DCC">
            <w:r>
              <w:t>Taken from the 7-county portion of the travel model post-processing</w:t>
            </w:r>
          </w:p>
        </w:tc>
      </w:tr>
    </w:tbl>
    <w:p w:rsidR="00414105" w:rsidRDefault="00414105" w:rsidP="00C80251">
      <w:pPr>
        <w:jc w:val="both"/>
      </w:pPr>
    </w:p>
    <w:p w:rsidR="009C04BC" w:rsidRDefault="00C6491B" w:rsidP="00C80251">
      <w:pPr>
        <w:jc w:val="both"/>
      </w:pPr>
      <w:r>
        <w:lastRenderedPageBreak/>
        <w:t xml:space="preserve">After total emissions for Putnam County were </w:t>
      </w:r>
      <w:r w:rsidR="005C37C2">
        <w:t>calculated using MOVES</w:t>
      </w:r>
      <w:r>
        <w:t xml:space="preserve">, the </w:t>
      </w:r>
      <w:r w:rsidR="005C37C2">
        <w:t>value</w:t>
      </w:r>
      <w:r>
        <w:t xml:space="preserve"> </w:t>
      </w:r>
      <w:r w:rsidR="005C37C2">
        <w:t>wa</w:t>
      </w:r>
      <w:r>
        <w:t>s scaled back to match the percent of human population in the PM</w:t>
      </w:r>
      <w:r w:rsidR="009A4AD0" w:rsidRPr="009A4AD0">
        <w:rPr>
          <w:vertAlign w:val="subscript"/>
        </w:rPr>
        <w:t>2.5</w:t>
      </w:r>
      <w:r>
        <w:t xml:space="preserve"> Nonattainment Area.  2010 Census TIGER files were imported into GIS and an analysis was performed to determine the Nonattainment Area’s share of Putnam County’s population</w:t>
      </w:r>
      <w:r w:rsidR="00050C49">
        <w:t xml:space="preserve"> (Figure 2)</w:t>
      </w:r>
      <w:r>
        <w:t xml:space="preserve">.  3,484 of Putnam County’s 21,218 </w:t>
      </w:r>
      <w:r w:rsidR="00050C49">
        <w:t>citizens</w:t>
      </w:r>
      <w:r>
        <w:t xml:space="preserve"> reside inside the boundary.  Therefore, total Putnam County MOVES emission’s results are multiplied by 16.4% to </w:t>
      </w:r>
      <w:r w:rsidR="002A52A7">
        <w:t>account for the ratio of population inside the Nonattainment Area to</w:t>
      </w:r>
      <w:r w:rsidR="00050C49">
        <w:t xml:space="preserve"> the total county’s population.</w:t>
      </w:r>
    </w:p>
    <w:p w:rsidR="00C80251" w:rsidRDefault="00C80251" w:rsidP="00C80251">
      <w:pPr>
        <w:spacing w:after="0" w:line="240" w:lineRule="auto"/>
        <w:jc w:val="both"/>
      </w:pPr>
    </w:p>
    <w:p w:rsidR="00196B6B" w:rsidRPr="00454736" w:rsidRDefault="00196B6B" w:rsidP="00196B6B">
      <w:pPr>
        <w:jc w:val="center"/>
        <w:rPr>
          <w:b/>
          <w:sz w:val="24"/>
          <w:szCs w:val="24"/>
        </w:rPr>
      </w:pPr>
      <w:r w:rsidRPr="00454736">
        <w:rPr>
          <w:b/>
          <w:sz w:val="24"/>
          <w:szCs w:val="24"/>
        </w:rPr>
        <w:t xml:space="preserve">Figure </w:t>
      </w:r>
      <w:r w:rsidR="00454736">
        <w:rPr>
          <w:b/>
          <w:sz w:val="24"/>
          <w:szCs w:val="24"/>
        </w:rPr>
        <w:t>2 –</w:t>
      </w:r>
      <w:r w:rsidRPr="00454736">
        <w:rPr>
          <w:b/>
          <w:sz w:val="24"/>
          <w:szCs w:val="24"/>
        </w:rPr>
        <w:t xml:space="preserve"> Putnam</w:t>
      </w:r>
      <w:r w:rsidR="00454736">
        <w:rPr>
          <w:b/>
          <w:sz w:val="24"/>
          <w:szCs w:val="24"/>
        </w:rPr>
        <w:t xml:space="preserve"> </w:t>
      </w:r>
      <w:r w:rsidRPr="00454736">
        <w:rPr>
          <w:b/>
          <w:sz w:val="24"/>
          <w:szCs w:val="24"/>
        </w:rPr>
        <w:t>County Nonattainment Area</w:t>
      </w:r>
    </w:p>
    <w:p w:rsidR="00CE7679" w:rsidRDefault="002A52A7" w:rsidP="00196B6B">
      <w:pPr>
        <w:jc w:val="center"/>
      </w:pPr>
      <w:r>
        <w:rPr>
          <w:noProof/>
        </w:rPr>
        <w:drawing>
          <wp:inline distT="0" distB="0" distL="0" distR="0">
            <wp:extent cx="5934075" cy="4105275"/>
            <wp:effectExtent l="19050" t="0" r="9525" b="0"/>
            <wp:docPr id="3" name="Picture 3" descr="J:\Model_Application\Air Quality\MOVES\Maintenance_Plans\Putnam\Putnam NA Pop Sh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Model_Application\Air Quality\MOVES\Maintenance_Plans\Putnam\Putnam NA Pop Share.jpg"/>
                    <pic:cNvPicPr>
                      <a:picLocks noChangeAspect="1" noChangeArrowheads="1"/>
                    </pic:cNvPicPr>
                  </pic:nvPicPr>
                  <pic:blipFill>
                    <a:blip r:embed="rId11" cstate="print"/>
                    <a:srcRect t="5197" b="5198"/>
                    <a:stretch>
                      <a:fillRect/>
                    </a:stretch>
                  </pic:blipFill>
                  <pic:spPr bwMode="auto">
                    <a:xfrm>
                      <a:off x="0" y="0"/>
                      <a:ext cx="5934075" cy="4105275"/>
                    </a:xfrm>
                    <a:prstGeom prst="rect">
                      <a:avLst/>
                    </a:prstGeom>
                    <a:noFill/>
                    <a:ln w="9525">
                      <a:noFill/>
                      <a:miter lim="800000"/>
                      <a:headEnd/>
                      <a:tailEnd/>
                    </a:ln>
                  </pic:spPr>
                </pic:pic>
              </a:graphicData>
            </a:graphic>
          </wp:inline>
        </w:drawing>
      </w:r>
    </w:p>
    <w:p w:rsidR="007B6C66" w:rsidRDefault="007B6C66">
      <w:r>
        <w:br w:type="page"/>
      </w:r>
    </w:p>
    <w:p w:rsidR="008F6D63" w:rsidRDefault="007B6C66" w:rsidP="008F6D63">
      <w:pPr>
        <w:pStyle w:val="Heading1"/>
        <w:spacing w:after="200"/>
      </w:pPr>
      <w:bookmarkStart w:id="59" w:name="_Toc307469389"/>
      <w:bookmarkStart w:id="60" w:name="_Toc307490357"/>
      <w:r>
        <w:lastRenderedPageBreak/>
        <w:t>MOVES Model Output</w:t>
      </w:r>
      <w:bookmarkEnd w:id="59"/>
      <w:bookmarkEnd w:id="60"/>
      <w:r>
        <w:t xml:space="preserve"> </w:t>
      </w:r>
    </w:p>
    <w:p w:rsidR="005C34A4" w:rsidRDefault="005C34A4" w:rsidP="005C34A4">
      <w:r>
        <w:t xml:space="preserve">The following sections contain the data output from running the MOVES model with the travel data and methodologies outlined in this document.  In addition, </w:t>
      </w:r>
      <w:r w:rsidRPr="00454736">
        <w:t>Exhibit 5</w:t>
      </w:r>
      <w:r>
        <w:t xml:space="preserve"> discusses work the ARC underwent to determine required safety margins.</w:t>
      </w:r>
    </w:p>
    <w:p w:rsidR="007B6C66" w:rsidRDefault="007B6C66" w:rsidP="008F6D63">
      <w:pPr>
        <w:pStyle w:val="Heading2"/>
      </w:pPr>
      <w:bookmarkStart w:id="61" w:name="_Toc307469390"/>
      <w:bookmarkStart w:id="62" w:name="_Toc307490358"/>
      <w:r>
        <w:t>Eight-Hour Ozone Standard Maintenance Plan</w:t>
      </w:r>
      <w:bookmarkEnd w:id="61"/>
      <w:bookmarkEnd w:id="62"/>
    </w:p>
    <w:p w:rsidR="001B0E57" w:rsidRDefault="00454736" w:rsidP="001B0E57">
      <w:pPr>
        <w:jc w:val="both"/>
      </w:pPr>
      <w:r>
        <w:t>Table 11</w:t>
      </w:r>
      <w:r w:rsidR="007B6C66">
        <w:t xml:space="preserve"> document</w:t>
      </w:r>
      <w:r w:rsidR="00C1075C">
        <w:t>s</w:t>
      </w:r>
      <w:r w:rsidR="007B6C66">
        <w:t xml:space="preserve"> the results of the emissions analysis for the eight-hour ozone standard for</w:t>
      </w:r>
      <w:r w:rsidR="00C1075C">
        <w:t xml:space="preserve"> the years 2008 and 2024.  This</w:t>
      </w:r>
      <w:r w:rsidR="007B6C66">
        <w:t xml:space="preserve"> table account</w:t>
      </w:r>
      <w:r w:rsidR="00C1075C">
        <w:t>s</w:t>
      </w:r>
      <w:r w:rsidR="007B6C66">
        <w:t xml:space="preserve"> for both running and </w:t>
      </w:r>
      <w:proofErr w:type="spellStart"/>
      <w:r w:rsidR="007B6C66">
        <w:t>nonrunning</w:t>
      </w:r>
      <w:proofErr w:type="spellEnd"/>
      <w:r w:rsidR="007B6C66">
        <w:t xml:space="preserve"> emissions estimated by the MOVES model.</w:t>
      </w:r>
      <w:r w:rsidR="00DE4BD7">
        <w:t xml:space="preserve">  MOVES output in grams per day is converted to tons per day by dividing by the grams to tons conversion factor </w:t>
      </w:r>
      <w:r w:rsidR="00DE4BD7" w:rsidRPr="00DE4BD7">
        <w:t>907</w:t>
      </w:r>
      <w:r w:rsidR="00DE4BD7">
        <w:t>,</w:t>
      </w:r>
      <w:r w:rsidR="00DE4BD7" w:rsidRPr="00DE4BD7">
        <w:t>184.74</w:t>
      </w:r>
      <w:r w:rsidR="00DE4BD7">
        <w:t>.</w:t>
      </w:r>
      <w:r w:rsidR="001B0E57">
        <w:t xml:space="preserve">  Final emissions account for the senior I/M exemption.</w:t>
      </w:r>
    </w:p>
    <w:p w:rsidR="007B6C66" w:rsidRPr="00454736" w:rsidRDefault="007B6C66" w:rsidP="00454736">
      <w:pPr>
        <w:jc w:val="center"/>
        <w:rPr>
          <w:b/>
          <w:sz w:val="24"/>
          <w:szCs w:val="24"/>
        </w:rPr>
      </w:pPr>
      <w:r w:rsidRPr="00454736">
        <w:rPr>
          <w:b/>
          <w:sz w:val="24"/>
          <w:szCs w:val="24"/>
        </w:rPr>
        <w:t xml:space="preserve">Table </w:t>
      </w:r>
      <w:r w:rsidR="00454736" w:rsidRPr="00454736">
        <w:rPr>
          <w:b/>
          <w:sz w:val="24"/>
          <w:szCs w:val="24"/>
        </w:rPr>
        <w:t>11</w:t>
      </w:r>
      <w:r w:rsidRPr="00454736">
        <w:rPr>
          <w:b/>
          <w:sz w:val="24"/>
          <w:szCs w:val="24"/>
        </w:rPr>
        <w:t xml:space="preserve"> –</w:t>
      </w:r>
      <w:r w:rsidR="00C1075C" w:rsidRPr="00454736">
        <w:rPr>
          <w:b/>
          <w:sz w:val="24"/>
          <w:szCs w:val="24"/>
        </w:rPr>
        <w:t xml:space="preserve"> Daily </w:t>
      </w:r>
      <w:r w:rsidRPr="00454736">
        <w:rPr>
          <w:b/>
          <w:sz w:val="24"/>
          <w:szCs w:val="24"/>
        </w:rPr>
        <w:t>Ozone Precursor Emissions</w:t>
      </w:r>
    </w:p>
    <w:tbl>
      <w:tblPr>
        <w:tblStyle w:val="MediumShading2-Accent11"/>
        <w:tblW w:w="0" w:type="auto"/>
        <w:jc w:val="center"/>
        <w:tblLook w:val="0420"/>
      </w:tblPr>
      <w:tblGrid>
        <w:gridCol w:w="1057"/>
        <w:gridCol w:w="2619"/>
        <w:gridCol w:w="2619"/>
      </w:tblGrid>
      <w:tr w:rsidR="001B0E57" w:rsidTr="00AD5DCC">
        <w:trPr>
          <w:cnfStyle w:val="100000000000"/>
          <w:jc w:val="center"/>
        </w:trPr>
        <w:tc>
          <w:tcPr>
            <w:tcW w:w="0" w:type="auto"/>
            <w:vAlign w:val="center"/>
          </w:tcPr>
          <w:p w:rsidR="001B0E57" w:rsidRPr="00AD5DCC" w:rsidRDefault="001B0E57" w:rsidP="00AD5DCC">
            <w:pPr>
              <w:jc w:val="center"/>
            </w:pPr>
            <w:r w:rsidRPr="00AD5DCC">
              <w:t>Pollutant</w:t>
            </w:r>
          </w:p>
        </w:tc>
        <w:tc>
          <w:tcPr>
            <w:tcW w:w="0" w:type="auto"/>
            <w:vAlign w:val="center"/>
          </w:tcPr>
          <w:p w:rsidR="001B0E57" w:rsidRPr="00AD5DCC" w:rsidRDefault="001B0E57" w:rsidP="00AD5DCC">
            <w:pPr>
              <w:jc w:val="center"/>
            </w:pPr>
            <w:r w:rsidRPr="00AD5DCC">
              <w:t>2008 Emissions (tons/day)</w:t>
            </w:r>
          </w:p>
        </w:tc>
        <w:tc>
          <w:tcPr>
            <w:tcW w:w="0" w:type="auto"/>
            <w:vAlign w:val="center"/>
          </w:tcPr>
          <w:p w:rsidR="001B0E57" w:rsidRPr="00AD5DCC" w:rsidRDefault="001B0E57" w:rsidP="00AD5DCC">
            <w:pPr>
              <w:jc w:val="center"/>
            </w:pPr>
            <w:r w:rsidRPr="00AD5DCC">
              <w:t>2024 Emissions (tons/day)</w:t>
            </w:r>
          </w:p>
        </w:tc>
      </w:tr>
      <w:tr w:rsidR="001B0E57" w:rsidTr="00AD5DCC">
        <w:trPr>
          <w:cnfStyle w:val="000000100000"/>
          <w:jc w:val="center"/>
        </w:trPr>
        <w:tc>
          <w:tcPr>
            <w:tcW w:w="0" w:type="auto"/>
            <w:vAlign w:val="center"/>
          </w:tcPr>
          <w:p w:rsidR="001B0E57" w:rsidRPr="00DE4BD7" w:rsidRDefault="001B0E57" w:rsidP="00AD5DCC">
            <w:pPr>
              <w:jc w:val="center"/>
            </w:pPr>
            <w:r>
              <w:t>NO</w:t>
            </w:r>
            <w:r>
              <w:rPr>
                <w:vertAlign w:val="subscript"/>
              </w:rPr>
              <w:t>x</w:t>
            </w:r>
          </w:p>
        </w:tc>
        <w:tc>
          <w:tcPr>
            <w:tcW w:w="0" w:type="auto"/>
            <w:vAlign w:val="center"/>
          </w:tcPr>
          <w:p w:rsidR="001B0E57" w:rsidRDefault="00AD1386" w:rsidP="00AD5DCC">
            <w:pPr>
              <w:jc w:val="center"/>
            </w:pPr>
            <w:r>
              <w:t>364.02</w:t>
            </w:r>
          </w:p>
        </w:tc>
        <w:tc>
          <w:tcPr>
            <w:tcW w:w="0" w:type="auto"/>
            <w:vAlign w:val="center"/>
          </w:tcPr>
          <w:p w:rsidR="001B0E57" w:rsidRDefault="00FA52FB" w:rsidP="00AD5DCC">
            <w:pPr>
              <w:jc w:val="center"/>
            </w:pPr>
            <w:r>
              <w:t>99.43</w:t>
            </w:r>
          </w:p>
        </w:tc>
      </w:tr>
      <w:tr w:rsidR="001B0E57" w:rsidTr="00AD5DCC">
        <w:trPr>
          <w:jc w:val="center"/>
        </w:trPr>
        <w:tc>
          <w:tcPr>
            <w:tcW w:w="0" w:type="auto"/>
            <w:vAlign w:val="center"/>
          </w:tcPr>
          <w:p w:rsidR="001B0E57" w:rsidRDefault="001B0E57" w:rsidP="00AD5DCC">
            <w:pPr>
              <w:jc w:val="center"/>
            </w:pPr>
            <w:r>
              <w:t>VOC</w:t>
            </w:r>
          </w:p>
        </w:tc>
        <w:tc>
          <w:tcPr>
            <w:tcW w:w="0" w:type="auto"/>
            <w:vAlign w:val="center"/>
          </w:tcPr>
          <w:p w:rsidR="001B0E57" w:rsidRDefault="00FA52FB" w:rsidP="00AD5DCC">
            <w:pPr>
              <w:jc w:val="center"/>
            </w:pPr>
            <w:r>
              <w:t>165.53</w:t>
            </w:r>
          </w:p>
        </w:tc>
        <w:tc>
          <w:tcPr>
            <w:tcW w:w="0" w:type="auto"/>
            <w:vAlign w:val="center"/>
          </w:tcPr>
          <w:p w:rsidR="001B0E57" w:rsidRDefault="00FA52FB" w:rsidP="00AD5DCC">
            <w:pPr>
              <w:jc w:val="center"/>
            </w:pPr>
            <w:r>
              <w:t>62.56</w:t>
            </w:r>
          </w:p>
        </w:tc>
      </w:tr>
    </w:tbl>
    <w:p w:rsidR="00DE4BD7" w:rsidRDefault="00DE4BD7" w:rsidP="001B0E57">
      <w:pPr>
        <w:jc w:val="both"/>
        <w:rPr>
          <w:highlight w:val="yellow"/>
        </w:rPr>
      </w:pPr>
    </w:p>
    <w:p w:rsidR="00DE4BD7" w:rsidRDefault="00DE4BD7" w:rsidP="008F6D63">
      <w:pPr>
        <w:pStyle w:val="Heading2"/>
      </w:pPr>
      <w:bookmarkStart w:id="63" w:name="_Toc307469391"/>
      <w:bookmarkStart w:id="64" w:name="_Toc307490359"/>
      <w:r>
        <w:t>MOVES Model Output – Annual PM</w:t>
      </w:r>
      <w:r w:rsidR="009A4AD0" w:rsidRPr="009A4AD0">
        <w:rPr>
          <w:vertAlign w:val="subscript"/>
        </w:rPr>
        <w:t>2.5</w:t>
      </w:r>
      <w:r>
        <w:t xml:space="preserve"> Standard Maintenance Plan</w:t>
      </w:r>
      <w:bookmarkEnd w:id="63"/>
      <w:bookmarkEnd w:id="64"/>
    </w:p>
    <w:p w:rsidR="00DE4BD7" w:rsidRDefault="008F31E9" w:rsidP="001B0E57">
      <w:pPr>
        <w:jc w:val="both"/>
      </w:pPr>
      <w:r>
        <w:t>Table 12</w:t>
      </w:r>
      <w:r w:rsidR="00DE4BD7">
        <w:t xml:space="preserve"> document</w:t>
      </w:r>
      <w:r w:rsidR="00C1075C">
        <w:t>s</w:t>
      </w:r>
      <w:r w:rsidR="00DE4BD7">
        <w:t xml:space="preserve"> the results of the emissions analysis for the annual PM</w:t>
      </w:r>
      <w:r w:rsidR="009A4AD0" w:rsidRPr="009A4AD0">
        <w:rPr>
          <w:vertAlign w:val="subscript"/>
        </w:rPr>
        <w:t>2.5</w:t>
      </w:r>
      <w:r w:rsidR="00DE4BD7">
        <w:t xml:space="preserve"> standard fo</w:t>
      </w:r>
      <w:r w:rsidR="00C1075C">
        <w:t>r the years 2008 and 2024.  This</w:t>
      </w:r>
      <w:r w:rsidR="00DE4BD7">
        <w:t xml:space="preserve"> table account</w:t>
      </w:r>
      <w:r w:rsidR="00C1075C">
        <w:t>s</w:t>
      </w:r>
      <w:r w:rsidR="00DE4BD7">
        <w:t xml:space="preserve"> for both running and </w:t>
      </w:r>
      <w:proofErr w:type="spellStart"/>
      <w:r w:rsidR="00DE4BD7">
        <w:t>nonrunning</w:t>
      </w:r>
      <w:proofErr w:type="spellEnd"/>
      <w:r w:rsidR="00DE4BD7">
        <w:t xml:space="preserve"> emissions estimated by the MOVES model.  MOVES output in grams per day is converted to tons per day by dividing by the grams to tons conversion factor </w:t>
      </w:r>
      <w:r w:rsidR="00DE4BD7" w:rsidRPr="00DE4BD7">
        <w:t>907</w:t>
      </w:r>
      <w:r w:rsidR="00DE4BD7">
        <w:t>,</w:t>
      </w:r>
      <w:r w:rsidR="00DE4BD7" w:rsidRPr="00DE4BD7">
        <w:t>184.74</w:t>
      </w:r>
      <w:r w:rsidR="00DE4BD7">
        <w:t>.  The result is then annualized by multiplying by</w:t>
      </w:r>
      <w:r w:rsidR="001B0E57">
        <w:t xml:space="preserve"> the</w:t>
      </w:r>
      <w:r w:rsidR="00DE4BD7">
        <w:t xml:space="preserve"> number of weekday equivalent days in a year (</w:t>
      </w:r>
      <w:r w:rsidR="00DE4BD7" w:rsidRPr="00725160">
        <w:t>341.98</w:t>
      </w:r>
      <w:r w:rsidR="00725160" w:rsidRPr="00725160">
        <w:t>09</w:t>
      </w:r>
      <w:r w:rsidR="00C1075C">
        <w:t>), which</w:t>
      </w:r>
      <w:r w:rsidR="00DE4BD7">
        <w:t xml:space="preserve"> account</w:t>
      </w:r>
      <w:r w:rsidR="00C1075C">
        <w:t>s</w:t>
      </w:r>
      <w:r w:rsidR="00DE4BD7">
        <w:t xml:space="preserve"> for the MOVES urban weekend adjustment factor:</w:t>
      </w:r>
    </w:p>
    <w:p w:rsidR="00C1075C" w:rsidRDefault="00C1075C" w:rsidP="00C1075C">
      <w:pPr>
        <w:ind w:firstLine="720"/>
        <w:jc w:val="both"/>
      </w:pPr>
      <w:r>
        <w:t>Weekday Equivalent = 365 x (5 weekdays/7days) + 365 x (2 weekends/7days) x 0.77927</w:t>
      </w:r>
    </w:p>
    <w:p w:rsidR="00DE4BD7" w:rsidRDefault="00692207" w:rsidP="00C1075C">
      <w:pPr>
        <w:ind w:firstLine="720"/>
        <w:jc w:val="both"/>
      </w:pPr>
      <w:r>
        <w:t>Where 0.77927</w:t>
      </w:r>
      <w:r w:rsidR="00DE4BD7">
        <w:t xml:space="preserve"> is the MOVES </w:t>
      </w:r>
      <w:r w:rsidR="00C1075C">
        <w:t xml:space="preserve">Default </w:t>
      </w:r>
      <w:r w:rsidR="00DE4BD7">
        <w:t>Urban Weekend Adjustment Factor</w:t>
      </w:r>
    </w:p>
    <w:p w:rsidR="00473FF3" w:rsidRPr="00C1075C" w:rsidRDefault="00473FF3" w:rsidP="001B0E57">
      <w:pPr>
        <w:jc w:val="both"/>
      </w:pPr>
      <w:r>
        <w:t>Final values account for the weekday factorization, the partial Putnam County emissions and the senior I/M exemption.  Outputs of PM</w:t>
      </w:r>
      <w:r w:rsidR="009A4AD0" w:rsidRPr="009A4AD0">
        <w:rPr>
          <w:vertAlign w:val="subscript"/>
        </w:rPr>
        <w:t>2.5</w:t>
      </w:r>
      <w:r>
        <w:t xml:space="preserve"> emissions include</w:t>
      </w:r>
      <w:r w:rsidR="00534AE6">
        <w:t xml:space="preserve"> the sum</w:t>
      </w:r>
      <w:r w:rsidR="008E4610">
        <w:t xml:space="preserve"> of</w:t>
      </w:r>
      <w:r>
        <w:t xml:space="preserve"> total PM</w:t>
      </w:r>
      <w:r w:rsidR="009A4AD0" w:rsidRPr="009A4AD0">
        <w:rPr>
          <w:vertAlign w:val="subscript"/>
        </w:rPr>
        <w:t>2.5</w:t>
      </w:r>
      <w:r>
        <w:t xml:space="preserve"> exhaust</w:t>
      </w:r>
      <w:r w:rsidR="008E4610">
        <w:t>,</w:t>
      </w:r>
      <w:r>
        <w:t xml:space="preserve"> brake wear and tire w</w:t>
      </w:r>
      <w:r w:rsidR="00C1075C">
        <w:t>ear</w:t>
      </w:r>
      <w:r>
        <w:t>.</w:t>
      </w:r>
    </w:p>
    <w:p w:rsidR="00DE4BD7" w:rsidRPr="00454736" w:rsidRDefault="00DE4BD7" w:rsidP="00454736">
      <w:pPr>
        <w:jc w:val="center"/>
        <w:rPr>
          <w:b/>
          <w:sz w:val="24"/>
          <w:szCs w:val="24"/>
        </w:rPr>
      </w:pPr>
      <w:r w:rsidRPr="00454736">
        <w:rPr>
          <w:b/>
          <w:sz w:val="24"/>
          <w:szCs w:val="24"/>
        </w:rPr>
        <w:t xml:space="preserve">Table </w:t>
      </w:r>
      <w:r w:rsidR="00454736" w:rsidRPr="00454736">
        <w:rPr>
          <w:b/>
          <w:sz w:val="24"/>
          <w:szCs w:val="24"/>
        </w:rPr>
        <w:t>12</w:t>
      </w:r>
      <w:r w:rsidRPr="00454736">
        <w:rPr>
          <w:b/>
          <w:sz w:val="24"/>
          <w:szCs w:val="24"/>
        </w:rPr>
        <w:t xml:space="preserve"> –</w:t>
      </w:r>
      <w:r w:rsidR="00473FF3" w:rsidRPr="00454736">
        <w:rPr>
          <w:b/>
          <w:sz w:val="24"/>
          <w:szCs w:val="24"/>
        </w:rPr>
        <w:t>PM</w:t>
      </w:r>
      <w:r w:rsidR="009A4AD0" w:rsidRPr="00454736">
        <w:rPr>
          <w:b/>
          <w:sz w:val="24"/>
          <w:szCs w:val="24"/>
          <w:vertAlign w:val="subscript"/>
        </w:rPr>
        <w:t>2.5</w:t>
      </w:r>
      <w:r w:rsidRPr="00454736">
        <w:rPr>
          <w:b/>
          <w:sz w:val="24"/>
          <w:szCs w:val="24"/>
        </w:rPr>
        <w:t xml:space="preserve"> Precursor Emissions</w:t>
      </w:r>
    </w:p>
    <w:tbl>
      <w:tblPr>
        <w:tblStyle w:val="MediumShading2-Accent11"/>
        <w:tblW w:w="0" w:type="auto"/>
        <w:jc w:val="center"/>
        <w:tblLook w:val="0420"/>
      </w:tblPr>
      <w:tblGrid>
        <w:gridCol w:w="1057"/>
        <w:gridCol w:w="2619"/>
        <w:gridCol w:w="2619"/>
      </w:tblGrid>
      <w:tr w:rsidR="001B0E57" w:rsidTr="00AD5DCC">
        <w:trPr>
          <w:cnfStyle w:val="100000000000"/>
          <w:jc w:val="center"/>
        </w:trPr>
        <w:tc>
          <w:tcPr>
            <w:tcW w:w="0" w:type="auto"/>
            <w:vAlign w:val="center"/>
          </w:tcPr>
          <w:p w:rsidR="001B0E57" w:rsidRDefault="001B0E57" w:rsidP="00AD5DCC">
            <w:pPr>
              <w:jc w:val="center"/>
            </w:pPr>
            <w:r>
              <w:t>Pollutant</w:t>
            </w:r>
          </w:p>
        </w:tc>
        <w:tc>
          <w:tcPr>
            <w:tcW w:w="0" w:type="auto"/>
            <w:vAlign w:val="center"/>
          </w:tcPr>
          <w:p w:rsidR="001B0E57" w:rsidRDefault="001B0E57" w:rsidP="00AD5DCC">
            <w:pPr>
              <w:jc w:val="center"/>
            </w:pPr>
            <w:r>
              <w:t>2008 Emissions (tons/day)</w:t>
            </w:r>
          </w:p>
        </w:tc>
        <w:tc>
          <w:tcPr>
            <w:tcW w:w="0" w:type="auto"/>
            <w:vAlign w:val="center"/>
          </w:tcPr>
          <w:p w:rsidR="001B0E57" w:rsidRDefault="001B0E57" w:rsidP="00AD5DCC">
            <w:pPr>
              <w:jc w:val="center"/>
            </w:pPr>
            <w:r>
              <w:t>2024 Emissions (tons/day)</w:t>
            </w:r>
          </w:p>
        </w:tc>
      </w:tr>
      <w:tr w:rsidR="001B0E57" w:rsidTr="00AD5DCC">
        <w:trPr>
          <w:cnfStyle w:val="000000100000"/>
          <w:jc w:val="center"/>
        </w:trPr>
        <w:tc>
          <w:tcPr>
            <w:tcW w:w="0" w:type="auto"/>
            <w:vAlign w:val="center"/>
          </w:tcPr>
          <w:p w:rsidR="001B0E57" w:rsidRPr="00DE4BD7" w:rsidRDefault="001B0E57" w:rsidP="00AD5DCC">
            <w:pPr>
              <w:jc w:val="center"/>
            </w:pPr>
            <w:r>
              <w:t>NO</w:t>
            </w:r>
            <w:r>
              <w:rPr>
                <w:vertAlign w:val="subscript"/>
              </w:rPr>
              <w:t>x</w:t>
            </w:r>
          </w:p>
        </w:tc>
        <w:tc>
          <w:tcPr>
            <w:tcW w:w="0" w:type="auto"/>
            <w:vAlign w:val="center"/>
          </w:tcPr>
          <w:p w:rsidR="001B0E57" w:rsidRDefault="00FA52FB" w:rsidP="00AD5DCC">
            <w:pPr>
              <w:jc w:val="center"/>
            </w:pPr>
            <w:r>
              <w:t>128,95</w:t>
            </w:r>
            <w:r w:rsidR="001B0E57">
              <w:t>4.</w:t>
            </w:r>
            <w:r>
              <w:t>56</w:t>
            </w:r>
          </w:p>
        </w:tc>
        <w:tc>
          <w:tcPr>
            <w:tcW w:w="0" w:type="auto"/>
            <w:vAlign w:val="center"/>
          </w:tcPr>
          <w:p w:rsidR="001B0E57" w:rsidRDefault="00FA52FB" w:rsidP="00AD5DCC">
            <w:pPr>
              <w:jc w:val="center"/>
            </w:pPr>
            <w:r>
              <w:t>35,27</w:t>
            </w:r>
            <w:r w:rsidR="001B0E57">
              <w:t>1.</w:t>
            </w:r>
            <w:r>
              <w:t>63</w:t>
            </w:r>
          </w:p>
        </w:tc>
      </w:tr>
      <w:tr w:rsidR="001B0E57" w:rsidTr="00AD5DCC">
        <w:trPr>
          <w:jc w:val="center"/>
        </w:trPr>
        <w:tc>
          <w:tcPr>
            <w:tcW w:w="0" w:type="auto"/>
            <w:vAlign w:val="center"/>
          </w:tcPr>
          <w:p w:rsidR="001B0E57" w:rsidRPr="008E4610" w:rsidRDefault="001B0E57" w:rsidP="00AD5DCC">
            <w:pPr>
              <w:jc w:val="center"/>
            </w:pPr>
            <w:r>
              <w:t>PM</w:t>
            </w:r>
            <w:r w:rsidR="009A4AD0" w:rsidRPr="009A4AD0">
              <w:rPr>
                <w:vertAlign w:val="subscript"/>
              </w:rPr>
              <w:t>2.5</w:t>
            </w:r>
          </w:p>
        </w:tc>
        <w:tc>
          <w:tcPr>
            <w:tcW w:w="0" w:type="auto"/>
            <w:vAlign w:val="center"/>
          </w:tcPr>
          <w:p w:rsidR="001B0E57" w:rsidRDefault="001B0E57" w:rsidP="00AD5DCC">
            <w:pPr>
              <w:jc w:val="center"/>
            </w:pPr>
            <w:r>
              <w:t>4,661.88</w:t>
            </w:r>
          </w:p>
        </w:tc>
        <w:tc>
          <w:tcPr>
            <w:tcW w:w="0" w:type="auto"/>
            <w:vAlign w:val="center"/>
          </w:tcPr>
          <w:p w:rsidR="001B0E57" w:rsidRDefault="001B0E57" w:rsidP="00AD5DCC">
            <w:pPr>
              <w:jc w:val="center"/>
            </w:pPr>
            <w:r>
              <w:t>1,642.17</w:t>
            </w:r>
          </w:p>
        </w:tc>
      </w:tr>
      <w:tr w:rsidR="001B0E57" w:rsidTr="00AD5DCC">
        <w:trPr>
          <w:cnfStyle w:val="000000100000"/>
          <w:jc w:val="center"/>
        </w:trPr>
        <w:tc>
          <w:tcPr>
            <w:tcW w:w="0" w:type="auto"/>
            <w:vAlign w:val="center"/>
          </w:tcPr>
          <w:p w:rsidR="001B0E57" w:rsidRPr="00473FF3" w:rsidRDefault="001B0E57" w:rsidP="00AD5DCC">
            <w:pPr>
              <w:jc w:val="center"/>
            </w:pPr>
            <w:r>
              <w:t>SO</w:t>
            </w:r>
            <w:r>
              <w:rPr>
                <w:vertAlign w:val="subscript"/>
              </w:rPr>
              <w:t>2</w:t>
            </w:r>
          </w:p>
        </w:tc>
        <w:tc>
          <w:tcPr>
            <w:tcW w:w="0" w:type="auto"/>
            <w:vAlign w:val="center"/>
          </w:tcPr>
          <w:p w:rsidR="001B0E57" w:rsidRDefault="001B0E57" w:rsidP="00AD5DCC">
            <w:pPr>
              <w:jc w:val="center"/>
            </w:pPr>
            <w:r>
              <w:t>725.14</w:t>
            </w:r>
          </w:p>
        </w:tc>
        <w:tc>
          <w:tcPr>
            <w:tcW w:w="0" w:type="auto"/>
            <w:vAlign w:val="center"/>
          </w:tcPr>
          <w:p w:rsidR="001B0E57" w:rsidRDefault="001B0E57" w:rsidP="00AD5DCC">
            <w:pPr>
              <w:jc w:val="center"/>
            </w:pPr>
            <w:r>
              <w:t>469.08</w:t>
            </w:r>
          </w:p>
        </w:tc>
      </w:tr>
    </w:tbl>
    <w:p w:rsidR="00DE4BD7" w:rsidRDefault="00DE4BD7" w:rsidP="007B6C66"/>
    <w:p w:rsidR="006D5584" w:rsidRDefault="006D5584"/>
    <w:sectPr w:rsidR="006D5584" w:rsidSect="001A2BB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3" w:author="David Kall" w:date="2011-10-27T08:22:00Z" w:initials="DK">
    <w:p w:rsidR="00222D09" w:rsidRDefault="00222D09" w:rsidP="00060BAD">
      <w:pPr>
        <w:pStyle w:val="CommentText"/>
      </w:pPr>
      <w:r>
        <w:rPr>
          <w:rStyle w:val="CommentReference"/>
        </w:rPr>
        <w:annotationRef/>
      </w:r>
      <w:r>
        <w:t>I’m beginning to wonder if we could have done this in the MOVES model by changing the waiver rates.  I guess it’s too late now since David D has probably already done too many MOVES runs.</w:t>
      </w:r>
    </w:p>
  </w:comment>
  <w:comment w:id="44" w:author="DavidDO" w:date="2011-10-27T08:24:00Z" w:initials="D">
    <w:p w:rsidR="00222D09" w:rsidRDefault="00222D09">
      <w:pPr>
        <w:pStyle w:val="CommentText"/>
      </w:pPr>
      <w:r>
        <w:rPr>
          <w:rStyle w:val="CommentReference"/>
        </w:rPr>
        <w:annotationRef/>
      </w:r>
      <w:r>
        <w:t>DK, if you want to look into how this could be done in MOVES, rather than the old MOBILE methodology outlined in an exhibit, it could be helpful.  We could always substitute the methodology in at a later time as part of an ongoing effort to update techniques…there is a chance that EPA will push back on a MOBILE based senior I/M exemption methodology.</w:t>
      </w:r>
    </w:p>
  </w:comment>
  <w:comment w:id="54" w:author="David Kall" w:date="2011-10-26T16:09:00Z" w:initials="DK">
    <w:p w:rsidR="00222D09" w:rsidRDefault="00222D09" w:rsidP="00F6033E">
      <w:pPr>
        <w:pStyle w:val="CommentText"/>
      </w:pPr>
      <w:r>
        <w:rPr>
          <w:rStyle w:val="CommentReference"/>
        </w:rPr>
        <w:annotationRef/>
      </w:r>
      <w:r>
        <w:t>David D: I’m not sure if you realized the spreadsheet you started with from Di actually had already done the first 2 steps.  Your spreadsheet did steps 3-4.  Looking back it probably would have been a simpler method to use 2002 registration data to start with as long as ARC has 2002 human population.  This would have allowed the elimination of Step 1 with these strange growth factors that vary by vehicle type.</w:t>
      </w:r>
    </w:p>
  </w:comment>
  <w:comment w:id="53" w:author="DavidDO" w:date="2011-10-27T08:28:00Z" w:initials="D">
    <w:p w:rsidR="00222D09" w:rsidRDefault="00222D09">
      <w:pPr>
        <w:pStyle w:val="CommentText"/>
      </w:pPr>
      <w:r>
        <w:rPr>
          <w:rStyle w:val="CommentReference"/>
        </w:rPr>
        <w:annotationRef/>
      </w:r>
      <w:r>
        <w:t>DK, I wasn’t aware of how she grew to 2007.  I think it’s too late in the game to adjust this methodology.  It matches the MOBILE method used previously, so I think it’ll be ok…but I agree that it would be less confusing to do what you described.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D09" w:rsidRDefault="00222D09" w:rsidP="006D5584">
      <w:pPr>
        <w:spacing w:after="0" w:line="240" w:lineRule="auto"/>
      </w:pPr>
      <w:r>
        <w:separator/>
      </w:r>
    </w:p>
  </w:endnote>
  <w:endnote w:type="continuationSeparator" w:id="0">
    <w:p w:rsidR="00222D09" w:rsidRDefault="00222D09" w:rsidP="006D55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78529"/>
      <w:docPartObj>
        <w:docPartGallery w:val="Page Numbers (Bottom of Page)"/>
        <w:docPartUnique/>
      </w:docPartObj>
    </w:sdtPr>
    <w:sdtContent>
      <w:p w:rsidR="00222D09" w:rsidRDefault="00222D09">
        <w:pPr>
          <w:pStyle w:val="Footer"/>
          <w:jc w:val="right"/>
        </w:pPr>
        <w:fldSimple w:instr=" PAGE   \* MERGEFORMAT ">
          <w:r w:rsidR="006F6195">
            <w:rPr>
              <w:noProof/>
            </w:rPr>
            <w:t>10</w:t>
          </w:r>
        </w:fldSimple>
      </w:p>
    </w:sdtContent>
  </w:sdt>
  <w:p w:rsidR="00222D09" w:rsidRDefault="00222D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D09" w:rsidRDefault="00222D09" w:rsidP="006D5584">
      <w:pPr>
        <w:spacing w:after="0" w:line="240" w:lineRule="auto"/>
      </w:pPr>
      <w:r>
        <w:separator/>
      </w:r>
    </w:p>
  </w:footnote>
  <w:footnote w:type="continuationSeparator" w:id="0">
    <w:p w:rsidR="00222D09" w:rsidRDefault="00222D09" w:rsidP="006D5584">
      <w:pPr>
        <w:spacing w:after="0" w:line="240" w:lineRule="auto"/>
      </w:pPr>
      <w:r>
        <w:continuationSeparator/>
      </w:r>
    </w:p>
  </w:footnote>
  <w:footnote w:id="1">
    <w:p w:rsidR="00222D09" w:rsidRDefault="00222D09" w:rsidP="007830E8">
      <w:pPr>
        <w:rPr>
          <w:rFonts w:ascii="Arial" w:hAnsi="Arial"/>
        </w:rPr>
      </w:pPr>
      <w:r>
        <w:rPr>
          <w:rStyle w:val="FootnoteReference"/>
          <w:sz w:val="20"/>
          <w:szCs w:val="20"/>
        </w:rPr>
        <w:footnoteRef/>
      </w:r>
      <w:r>
        <w:t xml:space="preserve"> On-road, or highway, sources include vehicles used on roads to transport passengers or freight.</w:t>
      </w:r>
    </w:p>
  </w:footnote>
  <w:footnote w:id="2">
    <w:p w:rsidR="00222D09" w:rsidRPr="004D63A3" w:rsidRDefault="00222D09" w:rsidP="004D63A3">
      <w:pPr>
        <w:spacing w:after="0"/>
      </w:pPr>
      <w:r w:rsidRPr="004D63A3">
        <w:rPr>
          <w:rStyle w:val="FootnoteReference"/>
          <w:rFonts w:asciiTheme="minorHAnsi" w:hAnsiTheme="minorHAnsi"/>
        </w:rPr>
        <w:footnoteRef/>
      </w:r>
      <w:r w:rsidRPr="004D63A3">
        <w:t xml:space="preserve"> The ARC metropolitan planning area comprises </w:t>
      </w:r>
      <w:r>
        <w:t xml:space="preserve"> the </w:t>
      </w:r>
      <w:r w:rsidRPr="004D63A3">
        <w:t>City of Atlanta and the counties of Cherokee, Clayton, Cobb, Coweta, DeKalb, Douglas, Fayette, Forsyth, Fulton, Gwinnett, Henry, Paulding and Rockdale, as well as portions of the counties of Barrow, Bartow, Newton, Spalding and Walton.</w:t>
      </w:r>
    </w:p>
  </w:footnote>
  <w:footnote w:id="3">
    <w:p w:rsidR="00222D09" w:rsidRPr="004D63A3" w:rsidRDefault="00222D09" w:rsidP="004D63A3">
      <w:pPr>
        <w:pStyle w:val="FootnoteText"/>
        <w:spacing w:line="276" w:lineRule="auto"/>
        <w:rPr>
          <w:rFonts w:asciiTheme="minorHAnsi" w:hAnsiTheme="minorHAnsi"/>
          <w:sz w:val="22"/>
          <w:szCs w:val="22"/>
        </w:rPr>
      </w:pPr>
      <w:r w:rsidRPr="004D63A3">
        <w:rPr>
          <w:rStyle w:val="FootnoteReference"/>
          <w:rFonts w:asciiTheme="minorHAnsi" w:hAnsiTheme="minorHAnsi"/>
          <w:sz w:val="22"/>
          <w:szCs w:val="22"/>
        </w:rPr>
        <w:footnoteRef/>
      </w:r>
      <w:r w:rsidRPr="004D63A3">
        <w:rPr>
          <w:rFonts w:asciiTheme="minorHAnsi" w:hAnsiTheme="minorHAnsi"/>
          <w:sz w:val="22"/>
          <w:szCs w:val="22"/>
        </w:rPr>
        <w:t xml:space="preserve"> Cherokee, Clayton, Cobb, Coweta, DeKalb, Douglas, Fayette, Forsyth, Fulton, Gwinnett, Henry, Paulding and Rockdale</w:t>
      </w:r>
      <w:r>
        <w:rPr>
          <w:rFonts w:asciiTheme="minorHAnsi" w:hAnsiTheme="minorHAnsi"/>
          <w:sz w:val="22"/>
          <w:szCs w:val="22"/>
        </w:rPr>
        <w:t xml:space="preserve"> Counties</w:t>
      </w:r>
    </w:p>
  </w:footnote>
  <w:footnote w:id="4">
    <w:p w:rsidR="00222D09" w:rsidRDefault="00222D09">
      <w:pPr>
        <w:pStyle w:val="FootnoteText"/>
      </w:pPr>
      <w:r w:rsidRPr="004D63A3">
        <w:rPr>
          <w:rStyle w:val="FootnoteReference"/>
          <w:rFonts w:asciiTheme="minorHAnsi" w:hAnsiTheme="minorHAnsi"/>
          <w:sz w:val="22"/>
          <w:szCs w:val="22"/>
        </w:rPr>
        <w:footnoteRef/>
      </w:r>
      <w:r w:rsidRPr="004D63A3">
        <w:rPr>
          <w:rFonts w:asciiTheme="minorHAnsi" w:hAnsiTheme="minorHAnsi"/>
          <w:sz w:val="22"/>
          <w:szCs w:val="22"/>
        </w:rPr>
        <w:t xml:space="preserve"> Barrow, Bartow, Carroll, Hall, Newton, Spalding and Walton</w:t>
      </w:r>
      <w:r>
        <w:rPr>
          <w:rFonts w:asciiTheme="minorHAnsi" w:hAnsiTheme="minorHAnsi"/>
          <w:sz w:val="22"/>
          <w:szCs w:val="22"/>
        </w:rPr>
        <w:t xml:space="preserve"> Counties</w:t>
      </w:r>
    </w:p>
  </w:footnote>
  <w:footnote w:id="5">
    <w:p w:rsidR="00222D09" w:rsidRDefault="00222D09">
      <w:pPr>
        <w:pStyle w:val="FootnoteText"/>
      </w:pPr>
      <w:r>
        <w:rPr>
          <w:rStyle w:val="FootnoteReference"/>
        </w:rPr>
        <w:footnoteRef/>
      </w:r>
      <w:r>
        <w:t xml:space="preserve"> </w:t>
      </w:r>
      <w:r w:rsidRPr="00042202">
        <w:rPr>
          <w:rFonts w:asciiTheme="minorHAnsi" w:hAnsiTheme="minorHAnsi"/>
          <w:sz w:val="22"/>
          <w:szCs w:val="22"/>
        </w:rPr>
        <w:t>http://</w:t>
      </w:r>
      <w:r>
        <w:rPr>
          <w:rFonts w:asciiTheme="minorHAnsi" w:hAnsiTheme="minorHAnsi"/>
          <w:sz w:val="22"/>
          <w:szCs w:val="22"/>
        </w:rPr>
        <w:t>www.</w:t>
      </w:r>
      <w:r w:rsidRPr="00042202">
        <w:rPr>
          <w:rFonts w:asciiTheme="minorHAnsi" w:hAnsiTheme="minorHAnsi"/>
          <w:sz w:val="22"/>
          <w:szCs w:val="22"/>
        </w:rPr>
        <w:t>atlantaregional.com/transportation/travel-demand-model</w:t>
      </w:r>
    </w:p>
  </w:footnote>
  <w:footnote w:id="6">
    <w:p w:rsidR="00222D09" w:rsidRPr="001D21F6" w:rsidRDefault="00222D09" w:rsidP="00C21B97">
      <w:pPr>
        <w:pStyle w:val="FootnoteText"/>
        <w:rPr>
          <w:ins w:id="21" w:author="DavidDO" w:date="2011-10-27T14:45:00Z"/>
          <w:rFonts w:asciiTheme="minorHAnsi" w:hAnsiTheme="minorHAnsi"/>
          <w:sz w:val="22"/>
          <w:szCs w:val="22"/>
        </w:rPr>
      </w:pPr>
      <w:ins w:id="22" w:author="DavidDO" w:date="2011-10-27T14:45:00Z">
        <w:r w:rsidRPr="001D21F6">
          <w:rPr>
            <w:rStyle w:val="FootnoteReference"/>
            <w:rFonts w:asciiTheme="minorHAnsi" w:hAnsiTheme="minorHAnsi"/>
            <w:sz w:val="22"/>
            <w:szCs w:val="22"/>
          </w:rPr>
          <w:footnoteRef/>
        </w:r>
        <w:r w:rsidRPr="001D21F6">
          <w:rPr>
            <w:rFonts w:asciiTheme="minorHAnsi" w:hAnsiTheme="minorHAnsi"/>
            <w:sz w:val="22"/>
            <w:szCs w:val="22"/>
          </w:rPr>
          <w:t xml:space="preserve"> </w:t>
        </w:r>
        <w:proofErr w:type="gramStart"/>
        <w:r w:rsidRPr="001D21F6">
          <w:rPr>
            <w:rFonts w:asciiTheme="minorHAnsi" w:hAnsiTheme="minorHAnsi"/>
            <w:sz w:val="22"/>
            <w:szCs w:val="22"/>
          </w:rPr>
          <w:t>Based on the EPA’s Direct Final Rule from October 13, 2011 to extend the MOVES grace period for regional conformity analysis for one year.</w:t>
        </w:r>
        <w:proofErr w:type="gramEnd"/>
      </w:ins>
    </w:p>
  </w:footnote>
  <w:footnote w:id="7">
    <w:p w:rsidR="00222D09" w:rsidRPr="0050210A" w:rsidRDefault="00222D09">
      <w:pPr>
        <w:pStyle w:val="FootnoteText"/>
        <w:rPr>
          <w:rFonts w:asciiTheme="minorHAnsi" w:hAnsiTheme="minorHAnsi"/>
          <w:sz w:val="22"/>
          <w:szCs w:val="22"/>
        </w:rPr>
      </w:pPr>
      <w:r w:rsidRPr="0050210A">
        <w:rPr>
          <w:rStyle w:val="FootnoteReference"/>
          <w:rFonts w:asciiTheme="minorHAnsi" w:hAnsiTheme="minorHAnsi"/>
          <w:sz w:val="22"/>
          <w:szCs w:val="22"/>
        </w:rPr>
        <w:footnoteRef/>
      </w:r>
      <w:r w:rsidRPr="0050210A">
        <w:rPr>
          <w:rFonts w:asciiTheme="minorHAnsi" w:hAnsiTheme="minorHAnsi"/>
          <w:sz w:val="22"/>
          <w:szCs w:val="22"/>
        </w:rPr>
        <w:t xml:space="preserve"> See Exhibit 2</w:t>
      </w:r>
    </w:p>
  </w:footnote>
  <w:footnote w:id="8">
    <w:p w:rsidR="00222D09" w:rsidRPr="006C3AA6" w:rsidRDefault="00222D09" w:rsidP="00F32808">
      <w:pPr>
        <w:pStyle w:val="FootnoteText"/>
        <w:rPr>
          <w:rFonts w:asciiTheme="minorHAnsi" w:hAnsiTheme="minorHAnsi"/>
          <w:sz w:val="22"/>
          <w:szCs w:val="22"/>
        </w:rPr>
      </w:pPr>
      <w:r w:rsidRPr="006C3AA6">
        <w:rPr>
          <w:rStyle w:val="FootnoteReference"/>
          <w:rFonts w:asciiTheme="minorHAnsi" w:hAnsiTheme="minorHAnsi"/>
          <w:sz w:val="22"/>
          <w:szCs w:val="22"/>
        </w:rPr>
        <w:footnoteRef/>
      </w:r>
      <w:r w:rsidRPr="006C3AA6">
        <w:rPr>
          <w:rFonts w:asciiTheme="minorHAnsi" w:hAnsiTheme="minorHAnsi"/>
          <w:sz w:val="22"/>
          <w:szCs w:val="22"/>
        </w:rPr>
        <w:t xml:space="preserve"> 40 CFR Sections 93.122(a)(7) and 93.122(b)(3)</w:t>
      </w:r>
    </w:p>
  </w:footnote>
  <w:footnote w:id="9">
    <w:p w:rsidR="00222D09" w:rsidRPr="006C3AA6" w:rsidRDefault="00222D09" w:rsidP="00F32808">
      <w:pPr>
        <w:pStyle w:val="FootnoteText"/>
        <w:rPr>
          <w:rFonts w:asciiTheme="minorHAnsi" w:hAnsiTheme="minorHAnsi"/>
          <w:sz w:val="22"/>
          <w:szCs w:val="22"/>
        </w:rPr>
      </w:pPr>
      <w:r w:rsidRPr="006C3AA6">
        <w:rPr>
          <w:rStyle w:val="FootnoteReference"/>
          <w:rFonts w:asciiTheme="minorHAnsi" w:hAnsiTheme="minorHAnsi"/>
          <w:sz w:val="22"/>
          <w:szCs w:val="22"/>
        </w:rPr>
        <w:footnoteRef/>
      </w:r>
      <w:r w:rsidRPr="006C3AA6">
        <w:rPr>
          <w:rFonts w:asciiTheme="minorHAnsi" w:hAnsiTheme="minorHAnsi"/>
          <w:sz w:val="22"/>
          <w:szCs w:val="22"/>
        </w:rPr>
        <w:t xml:space="preserve"> Section 3.4.2.6, </w:t>
      </w:r>
      <w:r w:rsidRPr="006C3AA6">
        <w:rPr>
          <w:rFonts w:asciiTheme="minorHAnsi" w:hAnsiTheme="minorHAnsi"/>
          <w:i/>
          <w:iCs/>
          <w:sz w:val="22"/>
          <w:szCs w:val="22"/>
        </w:rPr>
        <w:t>Procedures for Emission Inventory Preparation, Volume IV: Mobile Sources</w:t>
      </w:r>
      <w:r w:rsidRPr="006C3AA6">
        <w:rPr>
          <w:rFonts w:asciiTheme="minorHAnsi" w:hAnsiTheme="minorHAnsi"/>
          <w:sz w:val="22"/>
          <w:szCs w:val="22"/>
        </w:rPr>
        <w:t>, EPA420-R-92-009, USEPA Office of Air and Radiation, Office of Mobile Sources, 1992.</w:t>
      </w:r>
    </w:p>
  </w:footnote>
  <w:footnote w:id="10">
    <w:p w:rsidR="00222D09" w:rsidRPr="006C3AA6" w:rsidRDefault="00222D09" w:rsidP="00F32808">
      <w:pPr>
        <w:pStyle w:val="FootnoteText"/>
        <w:rPr>
          <w:rFonts w:asciiTheme="minorHAnsi" w:hAnsiTheme="minorHAnsi"/>
          <w:sz w:val="22"/>
          <w:szCs w:val="22"/>
        </w:rPr>
      </w:pPr>
      <w:r w:rsidRPr="006C3AA6">
        <w:rPr>
          <w:rStyle w:val="FootnoteReference"/>
          <w:rFonts w:asciiTheme="minorHAnsi" w:hAnsiTheme="minorHAnsi"/>
          <w:sz w:val="22"/>
          <w:szCs w:val="22"/>
        </w:rPr>
        <w:footnoteRef/>
      </w:r>
      <w:r w:rsidRPr="006C3AA6">
        <w:rPr>
          <w:rFonts w:asciiTheme="minorHAnsi" w:hAnsiTheme="minorHAnsi"/>
          <w:sz w:val="22"/>
          <w:szCs w:val="22"/>
        </w:rPr>
        <w:t xml:space="preserve"> 40 CFR Section 93.122(a)(7)</w:t>
      </w:r>
    </w:p>
  </w:footnote>
  <w:footnote w:id="11">
    <w:p w:rsidR="00222D09" w:rsidRPr="006C3AA6" w:rsidRDefault="00222D09" w:rsidP="00B626A2">
      <w:pPr>
        <w:pStyle w:val="Default"/>
        <w:rPr>
          <w:rFonts w:asciiTheme="minorHAnsi" w:hAnsiTheme="minorHAnsi"/>
          <w:sz w:val="22"/>
          <w:szCs w:val="22"/>
        </w:rPr>
      </w:pPr>
      <w:r w:rsidRPr="006C3AA6">
        <w:rPr>
          <w:rStyle w:val="FootnoteReference"/>
          <w:rFonts w:asciiTheme="minorHAnsi" w:hAnsiTheme="minorHAnsi"/>
          <w:sz w:val="22"/>
          <w:szCs w:val="22"/>
        </w:rPr>
        <w:footnoteRef/>
      </w:r>
      <w:r w:rsidRPr="006C3AA6">
        <w:rPr>
          <w:rFonts w:asciiTheme="minorHAnsi" w:hAnsiTheme="minorHAnsi"/>
          <w:sz w:val="22"/>
          <w:szCs w:val="22"/>
        </w:rPr>
        <w:t xml:space="preserve"> 40 CFR Section 93.122(b)(3) </w:t>
      </w:r>
    </w:p>
  </w:footnote>
  <w:footnote w:id="12">
    <w:p w:rsidR="00222D09" w:rsidRDefault="00222D09">
      <w:pPr>
        <w:pStyle w:val="FootnoteText"/>
      </w:pPr>
      <w:r w:rsidRPr="006C3AA6">
        <w:rPr>
          <w:rStyle w:val="FootnoteReference"/>
          <w:rFonts w:asciiTheme="minorHAnsi" w:hAnsiTheme="minorHAnsi"/>
          <w:sz w:val="22"/>
          <w:szCs w:val="22"/>
        </w:rPr>
        <w:footnoteRef/>
      </w:r>
      <w:r w:rsidRPr="006C3AA6">
        <w:rPr>
          <w:rFonts w:asciiTheme="minorHAnsi" w:hAnsiTheme="minorHAnsi"/>
          <w:sz w:val="22"/>
          <w:szCs w:val="22"/>
        </w:rPr>
        <w:t xml:space="preserve"> </w:t>
      </w:r>
      <w:r w:rsidRPr="006C3AA6">
        <w:rPr>
          <w:rFonts w:asciiTheme="minorHAnsi" w:hAnsiTheme="minorHAnsi"/>
          <w:i/>
          <w:sz w:val="22"/>
          <w:szCs w:val="22"/>
        </w:rPr>
        <w:t xml:space="preserve">Guidance for the Functional Classification of Highways (updated), Federal Highway Administration, </w:t>
      </w:r>
      <w:r w:rsidRPr="006C3AA6">
        <w:rPr>
          <w:rFonts w:asciiTheme="minorHAnsi" w:hAnsiTheme="minorHAnsi"/>
          <w:sz w:val="22"/>
          <w:szCs w:val="22"/>
        </w:rPr>
        <w:t>October 14, 2008</w:t>
      </w:r>
    </w:p>
  </w:footnote>
  <w:footnote w:id="13">
    <w:p w:rsidR="00222D09" w:rsidRPr="006C3AA6" w:rsidRDefault="00222D09" w:rsidP="00F32808">
      <w:pPr>
        <w:pStyle w:val="FootnoteText"/>
        <w:rPr>
          <w:rFonts w:asciiTheme="minorHAnsi" w:hAnsiTheme="minorHAnsi"/>
          <w:sz w:val="22"/>
          <w:szCs w:val="22"/>
        </w:rPr>
      </w:pPr>
      <w:r w:rsidRPr="006C3AA6">
        <w:rPr>
          <w:rStyle w:val="FootnoteReference"/>
          <w:rFonts w:asciiTheme="minorHAnsi" w:hAnsiTheme="minorHAnsi"/>
          <w:sz w:val="22"/>
          <w:szCs w:val="22"/>
        </w:rPr>
        <w:footnoteRef/>
      </w:r>
      <w:r w:rsidRPr="006C3AA6">
        <w:rPr>
          <w:rFonts w:asciiTheme="minorHAnsi" w:hAnsiTheme="minorHAnsi"/>
          <w:sz w:val="22"/>
          <w:szCs w:val="22"/>
        </w:rPr>
        <w:t xml:space="preserve"> </w:t>
      </w:r>
      <w:r w:rsidRPr="006C3AA6">
        <w:rPr>
          <w:rFonts w:asciiTheme="minorHAnsi" w:hAnsiTheme="minorHAnsi"/>
          <w:i/>
          <w:iCs/>
          <w:sz w:val="22"/>
          <w:szCs w:val="22"/>
        </w:rPr>
        <w:t>Procedures for Emission Inventory Preparation, Volume IV: Mobile Sources</w:t>
      </w:r>
      <w:r w:rsidRPr="006C3AA6">
        <w:rPr>
          <w:rFonts w:asciiTheme="minorHAnsi" w:hAnsiTheme="minorHAnsi"/>
          <w:sz w:val="22"/>
          <w:szCs w:val="22"/>
        </w:rPr>
        <w:t>, Section 3.4.2.6, EPA420-R-92-009, USEPA Office of Air and Radiation, Office of Mobile Sources, 1992.</w:t>
      </w:r>
    </w:p>
  </w:footnote>
  <w:footnote w:id="14">
    <w:p w:rsidR="00222D09" w:rsidRPr="00745635" w:rsidRDefault="00222D09" w:rsidP="00745635">
      <w:pPr>
        <w:pStyle w:val="FootnoteText"/>
        <w:rPr>
          <w:rFonts w:asciiTheme="minorHAnsi" w:hAnsiTheme="minorHAnsi"/>
          <w:sz w:val="22"/>
          <w:szCs w:val="22"/>
        </w:rPr>
      </w:pPr>
      <w:r w:rsidRPr="00745635">
        <w:rPr>
          <w:rStyle w:val="FootnoteReference"/>
          <w:rFonts w:asciiTheme="minorHAnsi" w:hAnsiTheme="minorHAnsi"/>
          <w:sz w:val="22"/>
          <w:szCs w:val="22"/>
        </w:rPr>
        <w:footnoteRef/>
      </w:r>
      <w:r w:rsidRPr="00745635">
        <w:rPr>
          <w:rFonts w:asciiTheme="minorHAnsi" w:hAnsiTheme="minorHAnsi"/>
          <w:sz w:val="22"/>
          <w:szCs w:val="22"/>
        </w:rPr>
        <w:t xml:space="preserve"> </w:t>
      </w:r>
      <w:hyperlink r:id="rId1" w:history="1">
        <w:r w:rsidRPr="00745635">
          <w:rPr>
            <w:rFonts w:asciiTheme="minorHAnsi" w:hAnsiTheme="minorHAnsi"/>
            <w:color w:val="000000"/>
            <w:sz w:val="22"/>
            <w:szCs w:val="22"/>
          </w:rPr>
          <w:t>RegistrationDistributionConverter_Veh16 (XLS)</w:t>
        </w:r>
      </w:hyperlink>
      <w:r w:rsidRPr="00745635">
        <w:rPr>
          <w:rFonts w:asciiTheme="minorHAnsi" w:hAnsiTheme="minorHAnsi"/>
          <w:color w:val="000000"/>
          <w:sz w:val="22"/>
          <w:szCs w:val="22"/>
        </w:rPr>
        <w:t xml:space="preserve"> available at http://www.epa.gov/otaq/models/moves/tools.htm</w:t>
      </w:r>
    </w:p>
  </w:footnote>
  <w:footnote w:id="15">
    <w:p w:rsidR="00222D09" w:rsidRPr="00303F94" w:rsidRDefault="00222D09" w:rsidP="00745635">
      <w:pPr>
        <w:pStyle w:val="FootnoteText"/>
      </w:pPr>
      <w:r w:rsidRPr="00745635">
        <w:rPr>
          <w:rStyle w:val="FootnoteReference"/>
          <w:rFonts w:asciiTheme="minorHAnsi" w:hAnsiTheme="minorHAnsi"/>
          <w:sz w:val="22"/>
          <w:szCs w:val="22"/>
        </w:rPr>
        <w:footnoteRef/>
      </w:r>
      <w:r w:rsidRPr="00745635">
        <w:rPr>
          <w:rFonts w:asciiTheme="minorHAnsi" w:hAnsiTheme="minorHAnsi"/>
          <w:sz w:val="22"/>
          <w:szCs w:val="22"/>
        </w:rPr>
        <w:t xml:space="preserve"> In 2002, Georgia's two-phase gasoline sulfur control program limited average sulfur in gasoline sold in the 13-county Atlanta area and in 12 surrounding counties to 150 parts per million (</w:t>
      </w:r>
      <w:proofErr w:type="spellStart"/>
      <w:r w:rsidRPr="00745635">
        <w:rPr>
          <w:rFonts w:asciiTheme="minorHAnsi" w:hAnsiTheme="minorHAnsi"/>
          <w:sz w:val="22"/>
          <w:szCs w:val="22"/>
        </w:rPr>
        <w:t>ppm</w:t>
      </w:r>
      <w:proofErr w:type="spellEnd"/>
      <w:r w:rsidRPr="00745635">
        <w:rPr>
          <w:rFonts w:asciiTheme="minorHAnsi" w:hAnsiTheme="minorHAnsi"/>
          <w:sz w:val="22"/>
          <w:szCs w:val="22"/>
        </w:rPr>
        <w:t xml:space="preserve">).  In addition, there was a seasonal (June 1 to September 15) 7.0 pounds per square inch (psi) Reid vapor pressure cap on gasoline sold in this Phase 1 area.  In 2003, Phase 2 of Georgia's gasoline rule reduced average sulfur to 30 </w:t>
      </w:r>
      <w:proofErr w:type="spellStart"/>
      <w:r w:rsidRPr="00745635">
        <w:rPr>
          <w:rFonts w:asciiTheme="minorHAnsi" w:hAnsiTheme="minorHAnsi"/>
          <w:sz w:val="22"/>
          <w:szCs w:val="22"/>
        </w:rPr>
        <w:t>ppm</w:t>
      </w:r>
      <w:proofErr w:type="spellEnd"/>
      <w:r w:rsidRPr="00745635">
        <w:rPr>
          <w:rFonts w:asciiTheme="minorHAnsi" w:hAnsiTheme="minorHAnsi"/>
          <w:sz w:val="22"/>
          <w:szCs w:val="22"/>
        </w:rPr>
        <w:t xml:space="preserve"> year-round and added 20 additional counties to the sulfur and RVP control program.</w:t>
      </w:r>
      <w:r w:rsidRPr="008660EB">
        <w:t xml:space="preserve">    </w:t>
      </w:r>
    </w:p>
  </w:footnote>
  <w:footnote w:id="16">
    <w:p w:rsidR="00222D09" w:rsidRPr="00F6033E" w:rsidRDefault="00222D09">
      <w:pPr>
        <w:pStyle w:val="FootnoteText"/>
        <w:rPr>
          <w:rFonts w:asciiTheme="minorHAnsi" w:hAnsiTheme="minorHAnsi"/>
          <w:sz w:val="22"/>
          <w:szCs w:val="22"/>
        </w:rPr>
      </w:pPr>
      <w:r w:rsidRPr="00F6033E">
        <w:rPr>
          <w:rStyle w:val="FootnoteReference"/>
          <w:rFonts w:asciiTheme="minorHAnsi" w:hAnsiTheme="minorHAnsi"/>
          <w:sz w:val="22"/>
          <w:szCs w:val="22"/>
        </w:rPr>
        <w:footnoteRef/>
      </w:r>
      <w:r w:rsidRPr="00F6033E">
        <w:rPr>
          <w:rFonts w:asciiTheme="minorHAnsi" w:hAnsiTheme="minorHAnsi"/>
          <w:sz w:val="22"/>
          <w:szCs w:val="22"/>
        </w:rPr>
        <w:t xml:space="preserve"> Obtained from www.georgiastats.uga.edu</w:t>
      </w:r>
    </w:p>
  </w:footnote>
  <w:footnote w:id="17">
    <w:p w:rsidR="00222D09" w:rsidRPr="00A1757D" w:rsidRDefault="00222D09">
      <w:pPr>
        <w:pStyle w:val="FootnoteText"/>
        <w:rPr>
          <w:rFonts w:asciiTheme="minorHAnsi" w:hAnsiTheme="minorHAnsi"/>
          <w:sz w:val="22"/>
          <w:szCs w:val="22"/>
        </w:rPr>
      </w:pPr>
      <w:r w:rsidRPr="00A1757D">
        <w:rPr>
          <w:rStyle w:val="FootnoteReference"/>
          <w:rFonts w:asciiTheme="minorHAnsi" w:hAnsiTheme="minorHAnsi"/>
          <w:sz w:val="22"/>
          <w:szCs w:val="22"/>
        </w:rPr>
        <w:footnoteRef/>
      </w:r>
      <w:r w:rsidRPr="00A1757D">
        <w:rPr>
          <w:rFonts w:asciiTheme="minorHAnsi" w:hAnsiTheme="minorHAnsi"/>
          <w:sz w:val="22"/>
          <w:szCs w:val="22"/>
        </w:rPr>
        <w:t xml:space="preserve"> A converter was developed by EPD based on the EPA </w:t>
      </w:r>
      <w:hyperlink r:id="rId2" w:history="1">
        <w:r w:rsidRPr="00A1757D">
          <w:rPr>
            <w:rFonts w:asciiTheme="minorHAnsi" w:hAnsiTheme="minorHAnsi"/>
            <w:color w:val="000000"/>
            <w:sz w:val="22"/>
            <w:szCs w:val="22"/>
          </w:rPr>
          <w:t>RegistrationDistributionConverter_Veh16 (XLS)</w:t>
        </w:r>
      </w:hyperlink>
      <w:r w:rsidRPr="00A1757D">
        <w:rPr>
          <w:rFonts w:asciiTheme="minorHAnsi" w:hAnsiTheme="minorHAnsi"/>
          <w:color w:val="000000"/>
          <w:sz w:val="22"/>
          <w:szCs w:val="22"/>
        </w:rPr>
        <w:t xml:space="preserve"> available at http://www.epa.gov/otaq/models/moves/tools.htm</w:t>
      </w:r>
    </w:p>
  </w:footnote>
  <w:footnote w:id="18">
    <w:p w:rsidR="00222D09" w:rsidRPr="00F77DFA" w:rsidRDefault="00222D09" w:rsidP="009F32A3">
      <w:pPr>
        <w:pStyle w:val="FootnoteText"/>
        <w:rPr>
          <w:rFonts w:asciiTheme="minorHAnsi" w:hAnsiTheme="minorHAnsi"/>
          <w:sz w:val="22"/>
          <w:szCs w:val="22"/>
        </w:rPr>
      </w:pPr>
      <w:r w:rsidRPr="00454736">
        <w:rPr>
          <w:rStyle w:val="FootnoteReference"/>
          <w:rFonts w:asciiTheme="minorHAnsi" w:hAnsiTheme="minorHAnsi"/>
          <w:sz w:val="22"/>
          <w:szCs w:val="22"/>
        </w:rPr>
        <w:footnoteRef/>
      </w:r>
      <w:r w:rsidRPr="00454736">
        <w:rPr>
          <w:rFonts w:asciiTheme="minorHAnsi" w:hAnsiTheme="minorHAnsi"/>
          <w:sz w:val="22"/>
          <w:szCs w:val="22"/>
        </w:rPr>
        <w:t>The summary of the vehicle classification counts is in Exhibit 3</w:t>
      </w:r>
    </w:p>
  </w:footnote>
  <w:footnote w:id="19">
    <w:p w:rsidR="00222D09" w:rsidRPr="003E4D4C" w:rsidRDefault="00222D09">
      <w:pPr>
        <w:pStyle w:val="FootnoteText"/>
        <w:rPr>
          <w:rFonts w:asciiTheme="minorHAnsi" w:hAnsiTheme="minorHAnsi"/>
          <w:sz w:val="22"/>
          <w:szCs w:val="22"/>
        </w:rPr>
      </w:pPr>
      <w:r w:rsidRPr="003E4D4C">
        <w:rPr>
          <w:rStyle w:val="FootnoteReference"/>
          <w:rFonts w:asciiTheme="minorHAnsi" w:hAnsiTheme="minorHAnsi"/>
          <w:sz w:val="22"/>
          <w:szCs w:val="22"/>
        </w:rPr>
        <w:footnoteRef/>
      </w:r>
      <w:r w:rsidRPr="003E4D4C">
        <w:rPr>
          <w:rFonts w:asciiTheme="minorHAnsi" w:hAnsiTheme="minorHAnsi"/>
          <w:sz w:val="22"/>
          <w:szCs w:val="22"/>
        </w:rPr>
        <w:t xml:space="preserve"> More detail on the development of MOVES Input</w:t>
      </w:r>
      <w:r>
        <w:rPr>
          <w:rFonts w:asciiTheme="minorHAnsi" w:hAnsiTheme="minorHAnsi"/>
          <w:sz w:val="22"/>
          <w:szCs w:val="22"/>
        </w:rPr>
        <w:t xml:space="preserve">s is available in the chapter regarding the </w:t>
      </w:r>
      <w:r w:rsidRPr="003E4D4C">
        <w:rPr>
          <w:rFonts w:asciiTheme="minorHAnsi" w:hAnsiTheme="minorHAnsi"/>
          <w:sz w:val="22"/>
          <w:szCs w:val="22"/>
        </w:rPr>
        <w:t>MOVES County Data Manager Input Files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C5BFA"/>
    <w:multiLevelType w:val="hybridMultilevel"/>
    <w:tmpl w:val="89AAD25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CC3A49"/>
    <w:multiLevelType w:val="hybridMultilevel"/>
    <w:tmpl w:val="8D44D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CF1AAF"/>
    <w:multiLevelType w:val="hybridMultilevel"/>
    <w:tmpl w:val="8730A1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FBE7440"/>
    <w:multiLevelType w:val="hybridMultilevel"/>
    <w:tmpl w:val="1A56BF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2721889"/>
    <w:multiLevelType w:val="hybridMultilevel"/>
    <w:tmpl w:val="B7B885F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2B2518B"/>
    <w:multiLevelType w:val="hybridMultilevel"/>
    <w:tmpl w:val="B8BECD3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2632EF"/>
    <w:multiLevelType w:val="hybridMultilevel"/>
    <w:tmpl w:val="51520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611F41"/>
    <w:multiLevelType w:val="hybridMultilevel"/>
    <w:tmpl w:val="0FA484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6174CA"/>
    <w:multiLevelType w:val="hybridMultilevel"/>
    <w:tmpl w:val="6BAC3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EC0D7D"/>
    <w:multiLevelType w:val="hybridMultilevel"/>
    <w:tmpl w:val="5678B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C47125"/>
    <w:multiLevelType w:val="hybridMultilevel"/>
    <w:tmpl w:val="F6F0D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2229A0"/>
    <w:multiLevelType w:val="hybridMultilevel"/>
    <w:tmpl w:val="F0A804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776AFA"/>
    <w:multiLevelType w:val="hybridMultilevel"/>
    <w:tmpl w:val="BCE66146"/>
    <w:lvl w:ilvl="0" w:tplc="04090011">
      <w:start w:val="1"/>
      <w:numFmt w:val="decimal"/>
      <w:lvlText w:val="%1)"/>
      <w:lvlJc w:val="left"/>
      <w:pPr>
        <w:ind w:left="720" w:hanging="360"/>
      </w:pPr>
      <w:rPr>
        <w:rFonts w:hint="default"/>
      </w:rPr>
    </w:lvl>
    <w:lvl w:ilvl="1" w:tplc="481814E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711257"/>
    <w:multiLevelType w:val="hybridMultilevel"/>
    <w:tmpl w:val="A3F2F3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40AA005F"/>
    <w:multiLevelType w:val="hybridMultilevel"/>
    <w:tmpl w:val="F9641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65204A"/>
    <w:multiLevelType w:val="hybridMultilevel"/>
    <w:tmpl w:val="5630FFBE"/>
    <w:lvl w:ilvl="0" w:tplc="E98E91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5B5784"/>
    <w:multiLevelType w:val="hybridMultilevel"/>
    <w:tmpl w:val="49D2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FC4047"/>
    <w:multiLevelType w:val="hybridMultilevel"/>
    <w:tmpl w:val="BFDA8C76"/>
    <w:lvl w:ilvl="0" w:tplc="04090001">
      <w:start w:val="1"/>
      <w:numFmt w:val="bullet"/>
      <w:lvlText w:val=""/>
      <w:lvlJc w:val="left"/>
      <w:pPr>
        <w:ind w:left="379" w:hanging="360"/>
      </w:pPr>
      <w:rPr>
        <w:rFonts w:ascii="Symbol" w:hAnsi="Symbol"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18">
    <w:nsid w:val="5602438B"/>
    <w:multiLevelType w:val="hybridMultilevel"/>
    <w:tmpl w:val="F0A804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AF0246"/>
    <w:multiLevelType w:val="hybridMultilevel"/>
    <w:tmpl w:val="D0A28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D71BDA"/>
    <w:multiLevelType w:val="hybridMultilevel"/>
    <w:tmpl w:val="0FA484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C45BED"/>
    <w:multiLevelType w:val="hybridMultilevel"/>
    <w:tmpl w:val="A078AB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5A44A3"/>
    <w:multiLevelType w:val="hybridMultilevel"/>
    <w:tmpl w:val="F9641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F0065D"/>
    <w:multiLevelType w:val="hybridMultilevel"/>
    <w:tmpl w:val="A6FED226"/>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FF4AE2"/>
    <w:multiLevelType w:val="hybridMultilevel"/>
    <w:tmpl w:val="F458946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nsid w:val="7745646D"/>
    <w:multiLevelType w:val="hybridMultilevel"/>
    <w:tmpl w:val="FB9AD3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C10521"/>
    <w:multiLevelType w:val="hybridMultilevel"/>
    <w:tmpl w:val="F0A804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4B14C7"/>
    <w:multiLevelType w:val="hybridMultilevel"/>
    <w:tmpl w:val="4158352A"/>
    <w:lvl w:ilvl="0" w:tplc="04090011">
      <w:start w:val="1"/>
      <w:numFmt w:val="decimal"/>
      <w:lvlText w:val="%1)"/>
      <w:lvlJc w:val="left"/>
      <w:pPr>
        <w:ind w:left="720" w:hanging="360"/>
      </w:pPr>
      <w:rPr>
        <w:rFonts w:hint="default"/>
      </w:rPr>
    </w:lvl>
    <w:lvl w:ilvl="1" w:tplc="481814E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6"/>
  </w:num>
  <w:num w:numId="3">
    <w:abstractNumId w:val="7"/>
  </w:num>
  <w:num w:numId="4">
    <w:abstractNumId w:val="14"/>
  </w:num>
  <w:num w:numId="5">
    <w:abstractNumId w:val="12"/>
  </w:num>
  <w:num w:numId="6">
    <w:abstractNumId w:val="20"/>
  </w:num>
  <w:num w:numId="7">
    <w:abstractNumId w:val="27"/>
  </w:num>
  <w:num w:numId="8">
    <w:abstractNumId w:val="22"/>
  </w:num>
  <w:num w:numId="9">
    <w:abstractNumId w:val="18"/>
  </w:num>
  <w:num w:numId="10">
    <w:abstractNumId w:val="11"/>
  </w:num>
  <w:num w:numId="11">
    <w:abstractNumId w:val="15"/>
  </w:num>
  <w:num w:numId="12">
    <w:abstractNumId w:val="23"/>
  </w:num>
  <w:num w:numId="13">
    <w:abstractNumId w:val="25"/>
  </w:num>
  <w:num w:numId="14">
    <w:abstractNumId w:val="19"/>
  </w:num>
  <w:num w:numId="15">
    <w:abstractNumId w:val="5"/>
  </w:num>
  <w:num w:numId="16">
    <w:abstractNumId w:val="16"/>
  </w:num>
  <w:num w:numId="17">
    <w:abstractNumId w:val="10"/>
  </w:num>
  <w:num w:numId="18">
    <w:abstractNumId w:val="9"/>
  </w:num>
  <w:num w:numId="19">
    <w:abstractNumId w:val="6"/>
  </w:num>
  <w:num w:numId="20">
    <w:abstractNumId w:val="21"/>
  </w:num>
  <w:num w:numId="21">
    <w:abstractNumId w:val="2"/>
  </w:num>
  <w:num w:numId="22">
    <w:abstractNumId w:val="4"/>
  </w:num>
  <w:num w:numId="23">
    <w:abstractNumId w:val="17"/>
  </w:num>
  <w:num w:numId="24">
    <w:abstractNumId w:val="3"/>
  </w:num>
  <w:num w:numId="25">
    <w:abstractNumId w:val="24"/>
  </w:num>
  <w:num w:numId="26">
    <w:abstractNumId w:val="13"/>
  </w:num>
  <w:num w:numId="27">
    <w:abstractNumId w:val="8"/>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rsids>
    <w:rsidRoot w:val="00CE7679"/>
    <w:rsid w:val="00003529"/>
    <w:rsid w:val="00007B6A"/>
    <w:rsid w:val="00016008"/>
    <w:rsid w:val="0003410F"/>
    <w:rsid w:val="00042202"/>
    <w:rsid w:val="00050C49"/>
    <w:rsid w:val="00057EBC"/>
    <w:rsid w:val="00060BAD"/>
    <w:rsid w:val="000B469F"/>
    <w:rsid w:val="000B4D69"/>
    <w:rsid w:val="000C7BE7"/>
    <w:rsid w:val="0013299B"/>
    <w:rsid w:val="00196B6B"/>
    <w:rsid w:val="001A2BBA"/>
    <w:rsid w:val="001B0E57"/>
    <w:rsid w:val="001B28F2"/>
    <w:rsid w:val="001B7434"/>
    <w:rsid w:val="001D21F6"/>
    <w:rsid w:val="001F0DAB"/>
    <w:rsid w:val="00222D09"/>
    <w:rsid w:val="00240715"/>
    <w:rsid w:val="00245974"/>
    <w:rsid w:val="002A52A7"/>
    <w:rsid w:val="00363D0D"/>
    <w:rsid w:val="00383C02"/>
    <w:rsid w:val="003C66C6"/>
    <w:rsid w:val="003E4D4C"/>
    <w:rsid w:val="00414105"/>
    <w:rsid w:val="00454736"/>
    <w:rsid w:val="00473B37"/>
    <w:rsid w:val="00473FF3"/>
    <w:rsid w:val="0049443E"/>
    <w:rsid w:val="004D63A3"/>
    <w:rsid w:val="004E0535"/>
    <w:rsid w:val="004E2929"/>
    <w:rsid w:val="004F376D"/>
    <w:rsid w:val="004F78E3"/>
    <w:rsid w:val="0050210A"/>
    <w:rsid w:val="00513988"/>
    <w:rsid w:val="005300D6"/>
    <w:rsid w:val="00534AE6"/>
    <w:rsid w:val="005413A1"/>
    <w:rsid w:val="00561ACC"/>
    <w:rsid w:val="00580A5C"/>
    <w:rsid w:val="00595440"/>
    <w:rsid w:val="005A1DF5"/>
    <w:rsid w:val="005C2B9F"/>
    <w:rsid w:val="005C34A4"/>
    <w:rsid w:val="005C37C2"/>
    <w:rsid w:val="005D44F0"/>
    <w:rsid w:val="005F5530"/>
    <w:rsid w:val="0065191A"/>
    <w:rsid w:val="0068305F"/>
    <w:rsid w:val="00692207"/>
    <w:rsid w:val="006A5C62"/>
    <w:rsid w:val="006A76AF"/>
    <w:rsid w:val="006C3AA6"/>
    <w:rsid w:val="006D5584"/>
    <w:rsid w:val="006E60E4"/>
    <w:rsid w:val="006F6195"/>
    <w:rsid w:val="00725160"/>
    <w:rsid w:val="00745635"/>
    <w:rsid w:val="00760208"/>
    <w:rsid w:val="007830E8"/>
    <w:rsid w:val="00783E24"/>
    <w:rsid w:val="00797FAB"/>
    <w:rsid w:val="007B6C66"/>
    <w:rsid w:val="00815A61"/>
    <w:rsid w:val="00820EC9"/>
    <w:rsid w:val="008414CD"/>
    <w:rsid w:val="00864A1E"/>
    <w:rsid w:val="008C617D"/>
    <w:rsid w:val="008E4610"/>
    <w:rsid w:val="008F31E9"/>
    <w:rsid w:val="008F6D63"/>
    <w:rsid w:val="009741E5"/>
    <w:rsid w:val="009869FC"/>
    <w:rsid w:val="0098780A"/>
    <w:rsid w:val="009A4AD0"/>
    <w:rsid w:val="009C04BC"/>
    <w:rsid w:val="009C6741"/>
    <w:rsid w:val="009F0390"/>
    <w:rsid w:val="009F32A3"/>
    <w:rsid w:val="00A1757D"/>
    <w:rsid w:val="00A6739B"/>
    <w:rsid w:val="00AD1386"/>
    <w:rsid w:val="00AD5DCC"/>
    <w:rsid w:val="00AF1C4B"/>
    <w:rsid w:val="00B14282"/>
    <w:rsid w:val="00B626A2"/>
    <w:rsid w:val="00BF4DD9"/>
    <w:rsid w:val="00C1075C"/>
    <w:rsid w:val="00C109A9"/>
    <w:rsid w:val="00C21B97"/>
    <w:rsid w:val="00C62DA6"/>
    <w:rsid w:val="00C6491B"/>
    <w:rsid w:val="00C668F1"/>
    <w:rsid w:val="00C80251"/>
    <w:rsid w:val="00CE7679"/>
    <w:rsid w:val="00CF303A"/>
    <w:rsid w:val="00D02A18"/>
    <w:rsid w:val="00D71A09"/>
    <w:rsid w:val="00D92941"/>
    <w:rsid w:val="00DA5F67"/>
    <w:rsid w:val="00DA60B8"/>
    <w:rsid w:val="00DA7766"/>
    <w:rsid w:val="00DE4BD7"/>
    <w:rsid w:val="00E01918"/>
    <w:rsid w:val="00E14B96"/>
    <w:rsid w:val="00E51C3B"/>
    <w:rsid w:val="00E54FD7"/>
    <w:rsid w:val="00E77F72"/>
    <w:rsid w:val="00EB177A"/>
    <w:rsid w:val="00EC1DCD"/>
    <w:rsid w:val="00EE4596"/>
    <w:rsid w:val="00F06353"/>
    <w:rsid w:val="00F32808"/>
    <w:rsid w:val="00F53D1B"/>
    <w:rsid w:val="00F6033E"/>
    <w:rsid w:val="00F63BB2"/>
    <w:rsid w:val="00F74EC7"/>
    <w:rsid w:val="00F77DFA"/>
    <w:rsid w:val="00F84D82"/>
    <w:rsid w:val="00FA52FB"/>
    <w:rsid w:val="00FD41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BB2"/>
  </w:style>
  <w:style w:type="paragraph" w:styleId="Heading1">
    <w:name w:val="heading 1"/>
    <w:basedOn w:val="Normal"/>
    <w:next w:val="Normal"/>
    <w:link w:val="Heading1Char"/>
    <w:uiPriority w:val="9"/>
    <w:qFormat/>
    <w:rsid w:val="00815A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5A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5A6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6B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B6B"/>
    <w:rPr>
      <w:rFonts w:ascii="Tahoma" w:hAnsi="Tahoma" w:cs="Tahoma"/>
      <w:sz w:val="16"/>
      <w:szCs w:val="16"/>
    </w:rPr>
  </w:style>
  <w:style w:type="table" w:styleId="TableGrid">
    <w:name w:val="Table Grid"/>
    <w:basedOn w:val="TableNormal"/>
    <w:uiPriority w:val="59"/>
    <w:rsid w:val="004141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14105"/>
    <w:pPr>
      <w:ind w:left="720"/>
      <w:contextualSpacing/>
    </w:pPr>
  </w:style>
  <w:style w:type="paragraph" w:styleId="NormalWeb">
    <w:name w:val="Normal (Web)"/>
    <w:basedOn w:val="Normal"/>
    <w:uiPriority w:val="99"/>
    <w:unhideWhenUsed/>
    <w:rsid w:val="00383C0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semiHidden/>
    <w:rsid w:val="006D558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D5584"/>
    <w:rPr>
      <w:rFonts w:ascii="Times New Roman" w:eastAsia="Times New Roman" w:hAnsi="Times New Roman" w:cs="Times New Roman"/>
      <w:sz w:val="20"/>
      <w:szCs w:val="20"/>
    </w:rPr>
  </w:style>
  <w:style w:type="character" w:styleId="FootnoteReference">
    <w:name w:val="footnote reference"/>
    <w:basedOn w:val="DefaultParagraphFont"/>
    <w:semiHidden/>
    <w:rsid w:val="006D5584"/>
    <w:rPr>
      <w:rFonts w:ascii="Times New Roman" w:hAnsi="Times New Roman" w:cs="Times New Roman"/>
      <w:vertAlign w:val="superscript"/>
    </w:rPr>
  </w:style>
  <w:style w:type="paragraph" w:styleId="NoSpacing">
    <w:name w:val="No Spacing"/>
    <w:link w:val="NoSpacingChar"/>
    <w:uiPriority w:val="1"/>
    <w:qFormat/>
    <w:rsid w:val="006D5584"/>
    <w:pPr>
      <w:spacing w:after="0" w:line="240" w:lineRule="auto"/>
    </w:pPr>
    <w:rPr>
      <w:rFonts w:ascii="Calibri" w:eastAsia="Times New Roman" w:hAnsi="Calibri" w:cs="Times New Roman"/>
    </w:rPr>
  </w:style>
  <w:style w:type="paragraph" w:styleId="Header">
    <w:name w:val="header"/>
    <w:basedOn w:val="Normal"/>
    <w:link w:val="HeaderChar"/>
    <w:uiPriority w:val="99"/>
    <w:unhideWhenUsed/>
    <w:rsid w:val="005300D6"/>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5300D6"/>
    <w:rPr>
      <w:rFonts w:ascii="Calibri" w:eastAsia="Times New Roman" w:hAnsi="Calibri" w:cs="Times New Roman"/>
    </w:rPr>
  </w:style>
  <w:style w:type="paragraph" w:styleId="Footer">
    <w:name w:val="footer"/>
    <w:basedOn w:val="Normal"/>
    <w:link w:val="FooterChar"/>
    <w:uiPriority w:val="99"/>
    <w:unhideWhenUsed/>
    <w:rsid w:val="005300D6"/>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5300D6"/>
    <w:rPr>
      <w:rFonts w:ascii="Calibri" w:eastAsia="Times New Roman" w:hAnsi="Calibri" w:cs="Times New Roman"/>
    </w:rPr>
  </w:style>
  <w:style w:type="paragraph" w:styleId="BodyText2">
    <w:name w:val="Body Text 2"/>
    <w:basedOn w:val="Normal"/>
    <w:link w:val="BodyText2Char"/>
    <w:rsid w:val="004F376D"/>
    <w:pPr>
      <w:spacing w:after="0" w:line="240" w:lineRule="auto"/>
    </w:pPr>
    <w:rPr>
      <w:rFonts w:ascii="Arial" w:eastAsia="Times New Roman" w:hAnsi="Arial" w:cs="Arial"/>
      <w:color w:val="000000"/>
      <w:sz w:val="24"/>
      <w:szCs w:val="24"/>
    </w:rPr>
  </w:style>
  <w:style w:type="character" w:customStyle="1" w:styleId="BodyText2Char">
    <w:name w:val="Body Text 2 Char"/>
    <w:basedOn w:val="DefaultParagraphFont"/>
    <w:link w:val="BodyText2"/>
    <w:rsid w:val="004F376D"/>
    <w:rPr>
      <w:rFonts w:ascii="Arial" w:eastAsia="Times New Roman" w:hAnsi="Arial" w:cs="Arial"/>
      <w:color w:val="000000"/>
      <w:sz w:val="24"/>
      <w:szCs w:val="24"/>
    </w:rPr>
  </w:style>
  <w:style w:type="character" w:styleId="Hyperlink">
    <w:name w:val="Hyperlink"/>
    <w:basedOn w:val="DefaultParagraphFont"/>
    <w:uiPriority w:val="99"/>
    <w:rsid w:val="007830E8"/>
    <w:rPr>
      <w:color w:val="0000FF"/>
      <w:u w:val="single"/>
    </w:rPr>
  </w:style>
  <w:style w:type="paragraph" w:customStyle="1" w:styleId="Default">
    <w:name w:val="Default"/>
    <w:rsid w:val="00F3280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63">
    <w:name w:val="CM63"/>
    <w:basedOn w:val="Normal"/>
    <w:next w:val="Normal"/>
    <w:link w:val="CM63Char"/>
    <w:rsid w:val="00F32808"/>
    <w:pPr>
      <w:widowControl w:val="0"/>
      <w:autoSpaceDE w:val="0"/>
      <w:autoSpaceDN w:val="0"/>
      <w:adjustRightInd w:val="0"/>
      <w:spacing w:after="283" w:line="240" w:lineRule="auto"/>
    </w:pPr>
    <w:rPr>
      <w:rFonts w:ascii="Garamond" w:eastAsia="Times New Roman" w:hAnsi="Garamond" w:cs="Times New Roman"/>
      <w:sz w:val="24"/>
      <w:szCs w:val="24"/>
    </w:rPr>
  </w:style>
  <w:style w:type="character" w:customStyle="1" w:styleId="CM63Char">
    <w:name w:val="CM63 Char"/>
    <w:basedOn w:val="DefaultParagraphFont"/>
    <w:link w:val="CM63"/>
    <w:rsid w:val="00F32808"/>
    <w:rPr>
      <w:rFonts w:ascii="Garamond" w:eastAsia="Times New Roman" w:hAnsi="Garamond" w:cs="Times New Roman"/>
      <w:sz w:val="24"/>
      <w:szCs w:val="24"/>
    </w:rPr>
  </w:style>
  <w:style w:type="character" w:styleId="CommentReference">
    <w:name w:val="annotation reference"/>
    <w:basedOn w:val="DefaultParagraphFont"/>
    <w:uiPriority w:val="99"/>
    <w:semiHidden/>
    <w:unhideWhenUsed/>
    <w:rsid w:val="00F32808"/>
    <w:rPr>
      <w:sz w:val="16"/>
      <w:szCs w:val="16"/>
    </w:rPr>
  </w:style>
  <w:style w:type="paragraph" w:styleId="CommentText">
    <w:name w:val="annotation text"/>
    <w:basedOn w:val="Normal"/>
    <w:link w:val="CommentTextChar"/>
    <w:uiPriority w:val="99"/>
    <w:semiHidden/>
    <w:unhideWhenUsed/>
    <w:rsid w:val="00F32808"/>
    <w:pPr>
      <w:spacing w:line="240" w:lineRule="auto"/>
    </w:pPr>
    <w:rPr>
      <w:sz w:val="20"/>
      <w:szCs w:val="20"/>
    </w:rPr>
  </w:style>
  <w:style w:type="character" w:customStyle="1" w:styleId="CommentTextChar">
    <w:name w:val="Comment Text Char"/>
    <w:basedOn w:val="DefaultParagraphFont"/>
    <w:link w:val="CommentText"/>
    <w:uiPriority w:val="99"/>
    <w:semiHidden/>
    <w:rsid w:val="00F32808"/>
    <w:rPr>
      <w:sz w:val="20"/>
      <w:szCs w:val="20"/>
    </w:rPr>
  </w:style>
  <w:style w:type="paragraph" w:styleId="CommentSubject">
    <w:name w:val="annotation subject"/>
    <w:basedOn w:val="CommentText"/>
    <w:next w:val="CommentText"/>
    <w:link w:val="CommentSubjectChar"/>
    <w:uiPriority w:val="99"/>
    <w:semiHidden/>
    <w:unhideWhenUsed/>
    <w:rsid w:val="00F32808"/>
    <w:rPr>
      <w:b/>
      <w:bCs/>
    </w:rPr>
  </w:style>
  <w:style w:type="character" w:customStyle="1" w:styleId="CommentSubjectChar">
    <w:name w:val="Comment Subject Char"/>
    <w:basedOn w:val="CommentTextChar"/>
    <w:link w:val="CommentSubject"/>
    <w:uiPriority w:val="99"/>
    <w:semiHidden/>
    <w:rsid w:val="00F32808"/>
    <w:rPr>
      <w:b/>
      <w:bCs/>
    </w:rPr>
  </w:style>
  <w:style w:type="paragraph" w:styleId="Revision">
    <w:name w:val="Revision"/>
    <w:hidden/>
    <w:uiPriority w:val="99"/>
    <w:semiHidden/>
    <w:rsid w:val="00BF4DD9"/>
    <w:pPr>
      <w:spacing w:after="0" w:line="240" w:lineRule="auto"/>
    </w:pPr>
  </w:style>
  <w:style w:type="table" w:customStyle="1" w:styleId="MediumShading2-Accent11">
    <w:name w:val="Medium Shading 2 - Accent 11"/>
    <w:basedOn w:val="TableNormal"/>
    <w:uiPriority w:val="64"/>
    <w:rsid w:val="00AD5DC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aption">
    <w:name w:val="caption"/>
    <w:basedOn w:val="Normal"/>
    <w:next w:val="Normal"/>
    <w:uiPriority w:val="35"/>
    <w:unhideWhenUsed/>
    <w:qFormat/>
    <w:rsid w:val="001D21F6"/>
    <w:pPr>
      <w:spacing w:line="240" w:lineRule="auto"/>
    </w:pPr>
    <w:rPr>
      <w:b/>
      <w:bCs/>
      <w:color w:val="4F81BD" w:themeColor="accent1"/>
      <w:sz w:val="18"/>
      <w:szCs w:val="18"/>
    </w:rPr>
  </w:style>
  <w:style w:type="character" w:styleId="FollowedHyperlink">
    <w:name w:val="FollowedHyperlink"/>
    <w:basedOn w:val="DefaultParagraphFont"/>
    <w:uiPriority w:val="99"/>
    <w:semiHidden/>
    <w:unhideWhenUsed/>
    <w:rsid w:val="00F6033E"/>
    <w:rPr>
      <w:color w:val="800080" w:themeColor="followedHyperlink"/>
      <w:u w:val="single"/>
    </w:rPr>
  </w:style>
  <w:style w:type="character" w:customStyle="1" w:styleId="Heading1Char">
    <w:name w:val="Heading 1 Char"/>
    <w:basedOn w:val="DefaultParagraphFont"/>
    <w:link w:val="Heading1"/>
    <w:uiPriority w:val="9"/>
    <w:rsid w:val="00815A6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15A61"/>
    <w:pPr>
      <w:outlineLvl w:val="9"/>
    </w:pPr>
  </w:style>
  <w:style w:type="paragraph" w:styleId="TOC1">
    <w:name w:val="toc 1"/>
    <w:basedOn w:val="Normal"/>
    <w:next w:val="Normal"/>
    <w:autoRedefine/>
    <w:uiPriority w:val="39"/>
    <w:unhideWhenUsed/>
    <w:rsid w:val="00815A61"/>
    <w:pPr>
      <w:spacing w:after="100"/>
    </w:pPr>
  </w:style>
  <w:style w:type="character" w:customStyle="1" w:styleId="Heading2Char">
    <w:name w:val="Heading 2 Char"/>
    <w:basedOn w:val="DefaultParagraphFont"/>
    <w:link w:val="Heading2"/>
    <w:uiPriority w:val="9"/>
    <w:rsid w:val="00815A61"/>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15A61"/>
    <w:pPr>
      <w:spacing w:after="100"/>
      <w:ind w:left="220"/>
    </w:pPr>
  </w:style>
  <w:style w:type="character" w:customStyle="1" w:styleId="Heading3Char">
    <w:name w:val="Heading 3 Char"/>
    <w:basedOn w:val="DefaultParagraphFont"/>
    <w:link w:val="Heading3"/>
    <w:uiPriority w:val="9"/>
    <w:rsid w:val="00815A61"/>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815A61"/>
    <w:pPr>
      <w:spacing w:after="100"/>
      <w:ind w:left="440"/>
    </w:pPr>
  </w:style>
  <w:style w:type="paragraph" w:styleId="Title">
    <w:name w:val="Title"/>
    <w:basedOn w:val="Normal"/>
    <w:next w:val="Normal"/>
    <w:link w:val="TitleChar"/>
    <w:uiPriority w:val="10"/>
    <w:qFormat/>
    <w:rsid w:val="000035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352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035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03529"/>
    <w:rPr>
      <w:rFonts w:asciiTheme="majorHAnsi" w:eastAsiaTheme="majorEastAsia" w:hAnsiTheme="majorHAnsi" w:cstheme="majorBidi"/>
      <w:i/>
      <w:iCs/>
      <w:color w:val="4F81BD" w:themeColor="accent1"/>
      <w:spacing w:val="15"/>
      <w:sz w:val="24"/>
      <w:szCs w:val="24"/>
    </w:rPr>
  </w:style>
  <w:style w:type="character" w:customStyle="1" w:styleId="NoSpacingChar">
    <w:name w:val="No Spacing Char"/>
    <w:basedOn w:val="DefaultParagraphFont"/>
    <w:link w:val="NoSpacing"/>
    <w:uiPriority w:val="1"/>
    <w:rsid w:val="008C617D"/>
    <w:rPr>
      <w:rFonts w:ascii="Calibri" w:eastAsia="Times New Roman" w:hAnsi="Calibri" w:cs="Times New Roman"/>
    </w:rPr>
  </w:style>
  <w:style w:type="table" w:styleId="MediumShading2-Accent1">
    <w:name w:val="Medium Shading 2 Accent 1"/>
    <w:basedOn w:val="TableNormal"/>
    <w:uiPriority w:val="64"/>
    <w:rsid w:val="00820EC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2633102">
      <w:bodyDiv w:val="1"/>
      <w:marLeft w:val="0"/>
      <w:marRight w:val="0"/>
      <w:marTop w:val="0"/>
      <w:marBottom w:val="0"/>
      <w:divBdr>
        <w:top w:val="none" w:sz="0" w:space="0" w:color="auto"/>
        <w:left w:val="none" w:sz="0" w:space="0" w:color="auto"/>
        <w:bottom w:val="none" w:sz="0" w:space="0" w:color="auto"/>
        <w:right w:val="none" w:sz="0" w:space="0" w:color="auto"/>
      </w:divBdr>
    </w:div>
    <w:div w:id="1070881459">
      <w:bodyDiv w:val="1"/>
      <w:marLeft w:val="0"/>
      <w:marRight w:val="0"/>
      <w:marTop w:val="0"/>
      <w:marBottom w:val="0"/>
      <w:divBdr>
        <w:top w:val="none" w:sz="0" w:space="0" w:color="auto"/>
        <w:left w:val="none" w:sz="0" w:space="0" w:color="auto"/>
        <w:bottom w:val="none" w:sz="0" w:space="0" w:color="auto"/>
        <w:right w:val="none" w:sz="0" w:space="0" w:color="auto"/>
      </w:divBdr>
    </w:div>
    <w:div w:id="1672441343">
      <w:bodyDiv w:val="1"/>
      <w:marLeft w:val="0"/>
      <w:marRight w:val="0"/>
      <w:marTop w:val="0"/>
      <w:marBottom w:val="0"/>
      <w:divBdr>
        <w:top w:val="none" w:sz="0" w:space="0" w:color="auto"/>
        <w:left w:val="none" w:sz="0" w:space="0" w:color="auto"/>
        <w:bottom w:val="none" w:sz="0" w:space="0" w:color="auto"/>
        <w:right w:val="none" w:sz="0" w:space="0" w:color="auto"/>
      </w:divBdr>
    </w:div>
    <w:div w:id="175138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epa.gov/otaq/models/moves/tools/reg-distrib-converter-veh16-20100209.xls" TargetMode="External"/><Relationship Id="rId1" Type="http://schemas.openxmlformats.org/officeDocument/2006/relationships/hyperlink" Target="http://www.epa.gov/otaq/models/moves/tools/reg-distrib-converter-veh16-20100209.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155F1-D9C1-4BC9-AA77-769DE9FC4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2670</TotalTime>
  <Pages>25</Pages>
  <Words>6765</Words>
  <Characters>38563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ARC</Company>
  <LinksUpToDate>false</LinksUpToDate>
  <CharactersWithSpaces>45238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DavidDO</dc:creator>
  <cp:keywords/>
  <dc:description/>
  <cp:lastModifiedBy>DavidDO</cp:lastModifiedBy>
  <cp:revision>59</cp:revision>
  <dcterms:created xsi:type="dcterms:W3CDTF">2011-10-14T14:45:00Z</dcterms:created>
  <dcterms:modified xsi:type="dcterms:W3CDTF">2011-11-02T17:20:00Z</dcterms:modified>
</cp:coreProperties>
</file>