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2AA" w:rsidRDefault="009572AA" w:rsidP="00256799">
      <w:pPr>
        <w:jc w:val="center"/>
        <w:rPr>
          <w:b/>
          <w:sz w:val="32"/>
          <w:szCs w:val="32"/>
        </w:rPr>
      </w:pPr>
    </w:p>
    <w:p w:rsidR="009572AA" w:rsidRDefault="009572AA" w:rsidP="00256799">
      <w:pPr>
        <w:jc w:val="center"/>
        <w:rPr>
          <w:b/>
          <w:sz w:val="32"/>
          <w:szCs w:val="32"/>
        </w:rPr>
      </w:pPr>
    </w:p>
    <w:p w:rsidR="009572AA" w:rsidRDefault="009572AA" w:rsidP="00256799">
      <w:pPr>
        <w:jc w:val="center"/>
        <w:rPr>
          <w:b/>
          <w:sz w:val="32"/>
          <w:szCs w:val="32"/>
        </w:rPr>
      </w:pPr>
    </w:p>
    <w:p w:rsidR="00256799" w:rsidRDefault="004248E7" w:rsidP="00256799">
      <w:pPr>
        <w:jc w:val="center"/>
        <w:rPr>
          <w:b/>
          <w:sz w:val="32"/>
          <w:szCs w:val="32"/>
        </w:rPr>
      </w:pPr>
      <w:r>
        <w:rPr>
          <w:b/>
          <w:sz w:val="32"/>
          <w:szCs w:val="32"/>
        </w:rPr>
        <w:t>PLAN 2040 Conformity Determination Report</w:t>
      </w:r>
    </w:p>
    <w:p w:rsidR="00256799" w:rsidRDefault="00256799" w:rsidP="00256799">
      <w:pPr>
        <w:jc w:val="center"/>
        <w:rPr>
          <w:b/>
          <w:sz w:val="32"/>
          <w:szCs w:val="32"/>
        </w:rPr>
      </w:pPr>
      <w:r>
        <w:rPr>
          <w:b/>
          <w:sz w:val="32"/>
          <w:szCs w:val="32"/>
        </w:rPr>
        <w:t>EXHIBIT 1A</w:t>
      </w:r>
    </w:p>
    <w:p w:rsidR="00256799" w:rsidRDefault="00256799" w:rsidP="00256799">
      <w:pPr>
        <w:jc w:val="center"/>
        <w:rPr>
          <w:rFonts w:ascii="Times New Roman" w:hAnsi="Times New Roman"/>
          <w:b/>
          <w:sz w:val="28"/>
          <w:szCs w:val="28"/>
        </w:rPr>
      </w:pPr>
    </w:p>
    <w:p w:rsidR="00256799" w:rsidRDefault="00256799" w:rsidP="00256799">
      <w:pPr>
        <w:jc w:val="center"/>
        <w:rPr>
          <w:b/>
          <w:sz w:val="28"/>
          <w:szCs w:val="28"/>
        </w:rPr>
      </w:pPr>
      <w:r>
        <w:rPr>
          <w:b/>
          <w:sz w:val="28"/>
          <w:szCs w:val="28"/>
        </w:rPr>
        <w:t>Interagency Review of Planning Assumptions</w:t>
      </w:r>
    </w:p>
    <w:p w:rsidR="00256799" w:rsidRDefault="00256799" w:rsidP="00256799">
      <w:pPr>
        <w:jc w:val="center"/>
        <w:rPr>
          <w:b/>
          <w:sz w:val="28"/>
          <w:szCs w:val="28"/>
        </w:rPr>
      </w:pPr>
      <w:r>
        <w:rPr>
          <w:b/>
          <w:sz w:val="28"/>
          <w:szCs w:val="28"/>
        </w:rPr>
        <w:t>Used in Regional Emissions Analysis</w:t>
      </w:r>
    </w:p>
    <w:p w:rsidR="00256799" w:rsidRDefault="00256799" w:rsidP="00256799">
      <w:pPr>
        <w:jc w:val="center"/>
        <w:rPr>
          <w:b/>
          <w:sz w:val="28"/>
          <w:szCs w:val="28"/>
        </w:rPr>
      </w:pPr>
      <w:r>
        <w:rPr>
          <w:b/>
          <w:sz w:val="28"/>
          <w:szCs w:val="28"/>
        </w:rPr>
        <w:t>For Atlanta Eight-Hour Ozone Nonattainment Area</w:t>
      </w:r>
    </w:p>
    <w:p w:rsidR="00256799" w:rsidRDefault="00256799" w:rsidP="00256799">
      <w:pPr>
        <w:jc w:val="center"/>
        <w:rPr>
          <w:rFonts w:ascii="Times New Roman" w:hAnsi="Times New Roman"/>
          <w:b/>
        </w:rPr>
      </w:pPr>
    </w:p>
    <w:p w:rsidR="00256799" w:rsidRDefault="00256799" w:rsidP="00256799">
      <w:pPr>
        <w:jc w:val="center"/>
        <w:rPr>
          <w:b/>
        </w:rPr>
      </w:pPr>
      <w:r>
        <w:rPr>
          <w:b/>
        </w:rPr>
        <w:t>Interagency Consultation Meeting</w:t>
      </w:r>
    </w:p>
    <w:p w:rsidR="00256799" w:rsidRPr="00A52FED" w:rsidRDefault="00256799" w:rsidP="00256799">
      <w:pPr>
        <w:jc w:val="center"/>
        <w:rPr>
          <w:rFonts w:asciiTheme="minorHAnsi" w:hAnsiTheme="minorHAnsi"/>
        </w:rPr>
      </w:pPr>
      <w:r>
        <w:rPr>
          <w:b/>
        </w:rPr>
        <w:t>Atlanta Regional Commission</w:t>
      </w:r>
    </w:p>
    <w:p w:rsidR="00256799" w:rsidRPr="00A52FED" w:rsidRDefault="00256799" w:rsidP="00256799">
      <w:pPr>
        <w:rPr>
          <w:rFonts w:asciiTheme="minorHAnsi" w:hAnsiTheme="minorHAnsi"/>
        </w:rPr>
      </w:pPr>
    </w:p>
    <w:p w:rsidR="00256799" w:rsidRPr="00A52FED" w:rsidRDefault="00256799" w:rsidP="00256799">
      <w:pPr>
        <w:rPr>
          <w:rFonts w:asciiTheme="minorHAnsi" w:hAnsiTheme="minorHAnsi"/>
        </w:rPr>
      </w:pPr>
    </w:p>
    <w:p w:rsidR="00256799" w:rsidRPr="00A52FED" w:rsidRDefault="00256799" w:rsidP="00256799">
      <w:pPr>
        <w:rPr>
          <w:rFonts w:asciiTheme="minorHAnsi" w:hAnsiTheme="minorHAnsi"/>
        </w:rPr>
      </w:pPr>
    </w:p>
    <w:p w:rsidR="00256799" w:rsidRPr="005537E4" w:rsidRDefault="00256799" w:rsidP="00256799">
      <w:pPr>
        <w:rPr>
          <w:rFonts w:asciiTheme="minorHAnsi" w:hAnsiTheme="minorHAnsi"/>
        </w:rPr>
      </w:pPr>
      <w:r w:rsidRPr="005537E4">
        <w:rPr>
          <w:rFonts w:asciiTheme="minorHAnsi" w:hAnsiTheme="minorHAnsi"/>
        </w:rPr>
        <w:t xml:space="preserve">The ARC </w:t>
      </w:r>
      <w:r w:rsidR="00DB28D5" w:rsidRPr="005537E4">
        <w:rPr>
          <w:rFonts w:asciiTheme="minorHAnsi" w:hAnsiTheme="minorHAnsi"/>
        </w:rPr>
        <w:t>will be conducting</w:t>
      </w:r>
      <w:r w:rsidRPr="005537E4">
        <w:rPr>
          <w:rFonts w:asciiTheme="minorHAnsi" w:hAnsiTheme="minorHAnsi"/>
        </w:rPr>
        <w:t xml:space="preserve"> a conformity analysis under the eight-hour ozone standard as part of the confo</w:t>
      </w:r>
      <w:r w:rsidR="00B52189" w:rsidRPr="005537E4">
        <w:rPr>
          <w:rFonts w:asciiTheme="minorHAnsi" w:hAnsiTheme="minorHAnsi"/>
        </w:rPr>
        <w:t xml:space="preserve">rmity </w:t>
      </w:r>
      <w:r w:rsidR="00DB28D5" w:rsidRPr="005537E4">
        <w:rPr>
          <w:rFonts w:asciiTheme="minorHAnsi" w:hAnsiTheme="minorHAnsi"/>
        </w:rPr>
        <w:t>determination for</w:t>
      </w:r>
      <w:r w:rsidR="00B52189" w:rsidRPr="005537E4">
        <w:rPr>
          <w:rFonts w:asciiTheme="minorHAnsi" w:hAnsiTheme="minorHAnsi"/>
        </w:rPr>
        <w:t xml:space="preserve"> </w:t>
      </w:r>
      <w:r w:rsidR="00DB28D5" w:rsidRPr="005537E4">
        <w:rPr>
          <w:rFonts w:asciiTheme="minorHAnsi" w:hAnsiTheme="minorHAnsi"/>
        </w:rPr>
        <w:t xml:space="preserve">the </w:t>
      </w:r>
      <w:r w:rsidR="00B52189" w:rsidRPr="005537E4">
        <w:rPr>
          <w:rFonts w:asciiTheme="minorHAnsi" w:hAnsiTheme="minorHAnsi"/>
        </w:rPr>
        <w:t>P</w:t>
      </w:r>
      <w:r w:rsidR="005769A0">
        <w:rPr>
          <w:rFonts w:asciiTheme="minorHAnsi" w:hAnsiTheme="minorHAnsi"/>
        </w:rPr>
        <w:t>LAN</w:t>
      </w:r>
      <w:r w:rsidR="00B52189" w:rsidRPr="005537E4">
        <w:rPr>
          <w:rFonts w:asciiTheme="minorHAnsi" w:hAnsiTheme="minorHAnsi"/>
        </w:rPr>
        <w:t xml:space="preserve"> 2040 RTP</w:t>
      </w:r>
      <w:r w:rsidR="00DB28D5" w:rsidRPr="005537E4">
        <w:rPr>
          <w:rFonts w:asciiTheme="minorHAnsi" w:hAnsiTheme="minorHAnsi"/>
        </w:rPr>
        <w:t xml:space="preserve"> / FY 2012-2017 TIP</w:t>
      </w:r>
      <w:r w:rsidR="00B52189" w:rsidRPr="005537E4">
        <w:rPr>
          <w:rFonts w:asciiTheme="minorHAnsi" w:hAnsiTheme="minorHAnsi"/>
        </w:rPr>
        <w:t xml:space="preserve"> </w:t>
      </w:r>
      <w:r w:rsidRPr="005537E4">
        <w:rPr>
          <w:rFonts w:asciiTheme="minorHAnsi" w:hAnsiTheme="minorHAnsi"/>
        </w:rPr>
        <w:t xml:space="preserve">for the 20 county nonattainment area.   </w:t>
      </w:r>
    </w:p>
    <w:p w:rsidR="00256799" w:rsidRPr="005537E4" w:rsidRDefault="00256799" w:rsidP="00256799">
      <w:pPr>
        <w:rPr>
          <w:rFonts w:asciiTheme="minorHAnsi" w:hAnsiTheme="minorHAnsi"/>
        </w:rPr>
      </w:pPr>
      <w:r w:rsidRPr="005537E4">
        <w:rPr>
          <w:rFonts w:asciiTheme="minorHAnsi" w:hAnsiTheme="minorHAnsi"/>
        </w:rPr>
        <w:t xml:space="preserve">Below is a detailed listing of the procedures and planning assumptions for the upcoming conformity analysis of </w:t>
      </w:r>
      <w:r w:rsidR="005769A0">
        <w:rPr>
          <w:rFonts w:asciiTheme="minorHAnsi" w:hAnsiTheme="minorHAnsi"/>
        </w:rPr>
        <w:t>the PLAN</w:t>
      </w:r>
      <w:r w:rsidR="00B52189" w:rsidRPr="005537E4">
        <w:rPr>
          <w:rFonts w:asciiTheme="minorHAnsi" w:hAnsiTheme="minorHAnsi"/>
        </w:rPr>
        <w:t xml:space="preserve"> 2040 RTP</w:t>
      </w:r>
      <w:r w:rsidRPr="005537E4">
        <w:rPr>
          <w:rFonts w:asciiTheme="minorHAnsi" w:hAnsiTheme="minorHAnsi"/>
        </w:rPr>
        <w:t xml:space="preserve">.  </w:t>
      </w:r>
    </w:p>
    <w:p w:rsidR="00256799" w:rsidRPr="005537E4" w:rsidRDefault="00256799" w:rsidP="00256799">
      <w:pPr>
        <w:rPr>
          <w:rFonts w:asciiTheme="minorHAnsi" w:hAnsiTheme="minorHAnsi"/>
          <w:b/>
        </w:rPr>
      </w:pPr>
      <w:r w:rsidRPr="005537E4">
        <w:rPr>
          <w:rFonts w:asciiTheme="minorHAnsi" w:hAnsiTheme="minorHAnsi"/>
        </w:rPr>
        <w:br w:type="page"/>
      </w:r>
      <w:r w:rsidRPr="005537E4">
        <w:rPr>
          <w:rFonts w:asciiTheme="minorHAnsi" w:hAnsiTheme="minorHAnsi"/>
          <w:b/>
        </w:rPr>
        <w:lastRenderedPageBreak/>
        <w:t xml:space="preserve">Section 1: General Methods and Assumptions </w:t>
      </w:r>
    </w:p>
    <w:p w:rsidR="00256799" w:rsidRPr="005537E4" w:rsidRDefault="00256799" w:rsidP="00256799">
      <w:pPr>
        <w:pStyle w:val="NoSpacing"/>
        <w:numPr>
          <w:ilvl w:val="0"/>
          <w:numId w:val="7"/>
        </w:numPr>
        <w:rPr>
          <w:rFonts w:asciiTheme="minorHAnsi" w:hAnsiTheme="minorHAnsi"/>
        </w:rPr>
      </w:pPr>
      <w:r w:rsidRPr="005537E4">
        <w:rPr>
          <w:rFonts w:asciiTheme="minorHAnsi" w:hAnsiTheme="minorHAnsi"/>
        </w:rPr>
        <w:t>Modeling  Methodology: Estimate link-level VMT and congested flow speeds using ARC 20-county travel demand model that corresponds to the 20-county eight-hour ozone nonattainment area</w:t>
      </w:r>
    </w:p>
    <w:p w:rsidR="00256799" w:rsidRPr="005537E4" w:rsidRDefault="00256799" w:rsidP="00256799">
      <w:pPr>
        <w:pStyle w:val="NoSpacing"/>
        <w:ind w:left="360"/>
        <w:rPr>
          <w:rFonts w:asciiTheme="minorHAnsi" w:hAnsiTheme="minorHAnsi"/>
        </w:rPr>
      </w:pPr>
    </w:p>
    <w:p w:rsidR="00256799" w:rsidRPr="005537E4" w:rsidRDefault="00256799" w:rsidP="00256799">
      <w:pPr>
        <w:pStyle w:val="NoSpacing"/>
        <w:numPr>
          <w:ilvl w:val="0"/>
          <w:numId w:val="7"/>
        </w:numPr>
        <w:rPr>
          <w:rFonts w:asciiTheme="minorHAnsi" w:hAnsiTheme="minorHAnsi"/>
        </w:rPr>
      </w:pPr>
      <w:r w:rsidRPr="005537E4">
        <w:rPr>
          <w:rFonts w:asciiTheme="minorHAnsi" w:hAnsiTheme="minorHAnsi"/>
        </w:rPr>
        <w:t>Conformity Test</w:t>
      </w:r>
    </w:p>
    <w:p w:rsidR="00256799" w:rsidRPr="005537E4" w:rsidRDefault="00256799" w:rsidP="00256799">
      <w:pPr>
        <w:pStyle w:val="NoSpacing"/>
        <w:numPr>
          <w:ilvl w:val="0"/>
          <w:numId w:val="11"/>
        </w:numPr>
        <w:rPr>
          <w:rFonts w:asciiTheme="minorHAnsi" w:hAnsiTheme="minorHAnsi"/>
        </w:rPr>
      </w:pPr>
      <w:r w:rsidRPr="005537E4">
        <w:rPr>
          <w:rFonts w:asciiTheme="minorHAnsi" w:hAnsiTheme="minorHAnsi"/>
        </w:rPr>
        <w:t>Nonattainment Classification - Moderate</w:t>
      </w:r>
    </w:p>
    <w:p w:rsidR="00256799" w:rsidRPr="005537E4" w:rsidRDefault="00256799" w:rsidP="00256799">
      <w:pPr>
        <w:pStyle w:val="NoSpacing"/>
        <w:numPr>
          <w:ilvl w:val="0"/>
          <w:numId w:val="11"/>
        </w:numPr>
        <w:rPr>
          <w:rFonts w:asciiTheme="minorHAnsi" w:hAnsiTheme="minorHAnsi"/>
        </w:rPr>
      </w:pPr>
      <w:r w:rsidRPr="005537E4">
        <w:rPr>
          <w:rFonts w:asciiTheme="minorHAnsi" w:hAnsiTheme="minorHAnsi"/>
        </w:rPr>
        <w:t>Motor Vehicle Emission Budget (MVEB) Test</w:t>
      </w:r>
      <w:r w:rsidRPr="005537E4">
        <w:rPr>
          <w:rStyle w:val="FootnoteReference"/>
          <w:rFonts w:asciiTheme="minorHAnsi" w:hAnsiTheme="minorHAnsi"/>
        </w:rPr>
        <w:footnoteReference w:id="1"/>
      </w:r>
    </w:p>
    <w:p w:rsidR="00256799" w:rsidRPr="005537E4" w:rsidRDefault="00256799" w:rsidP="00256799">
      <w:pPr>
        <w:pStyle w:val="NoSpacing"/>
        <w:numPr>
          <w:ilvl w:val="0"/>
          <w:numId w:val="12"/>
        </w:numPr>
        <w:rPr>
          <w:rFonts w:asciiTheme="minorHAnsi" w:hAnsiTheme="minorHAnsi"/>
        </w:rPr>
      </w:pPr>
      <w:r w:rsidRPr="005537E4">
        <w:rPr>
          <w:rFonts w:asciiTheme="minorHAnsi" w:hAnsiTheme="minorHAnsi"/>
        </w:rPr>
        <w:t>NOx: 306.75 tpd</w:t>
      </w:r>
    </w:p>
    <w:p w:rsidR="00256799" w:rsidRPr="005537E4" w:rsidRDefault="00256799" w:rsidP="00256799">
      <w:pPr>
        <w:pStyle w:val="NoSpacing"/>
        <w:numPr>
          <w:ilvl w:val="0"/>
          <w:numId w:val="12"/>
        </w:numPr>
        <w:rPr>
          <w:rFonts w:asciiTheme="minorHAnsi" w:hAnsiTheme="minorHAnsi"/>
        </w:rPr>
      </w:pPr>
      <w:r w:rsidRPr="005537E4">
        <w:rPr>
          <w:rFonts w:asciiTheme="minorHAnsi" w:hAnsiTheme="minorHAnsi"/>
        </w:rPr>
        <w:t>VOC: 172.27 tpd</w:t>
      </w:r>
    </w:p>
    <w:p w:rsidR="00256799" w:rsidRPr="005537E4" w:rsidRDefault="00256799" w:rsidP="00256799">
      <w:pPr>
        <w:rPr>
          <w:rFonts w:asciiTheme="minorHAnsi" w:hAnsiTheme="minorHAnsi"/>
        </w:rPr>
      </w:pPr>
    </w:p>
    <w:p w:rsidR="00256799" w:rsidRPr="005537E4" w:rsidRDefault="00256799" w:rsidP="00256799">
      <w:pPr>
        <w:numPr>
          <w:ilvl w:val="0"/>
          <w:numId w:val="7"/>
        </w:numPr>
        <w:rPr>
          <w:rFonts w:asciiTheme="minorHAnsi" w:hAnsiTheme="minorHAnsi"/>
        </w:rPr>
      </w:pPr>
      <w:r w:rsidRPr="005537E4">
        <w:rPr>
          <w:rFonts w:asciiTheme="minorHAnsi" w:hAnsiTheme="minorHAnsi"/>
        </w:rPr>
        <w:t>Conformity Analysis Years: 201</w:t>
      </w:r>
      <w:r w:rsidR="00B52189" w:rsidRPr="005537E4">
        <w:rPr>
          <w:rFonts w:asciiTheme="minorHAnsi" w:hAnsiTheme="minorHAnsi"/>
        </w:rPr>
        <w:t>6</w:t>
      </w:r>
      <w:r w:rsidRPr="005537E4">
        <w:rPr>
          <w:rFonts w:asciiTheme="minorHAnsi" w:hAnsiTheme="minorHAnsi"/>
        </w:rPr>
        <w:t>, 2020, 2030</w:t>
      </w:r>
      <w:r w:rsidR="00B52189" w:rsidRPr="005537E4">
        <w:rPr>
          <w:rFonts w:asciiTheme="minorHAnsi" w:hAnsiTheme="minorHAnsi"/>
        </w:rPr>
        <w:t>, 2040</w:t>
      </w:r>
    </w:p>
    <w:p w:rsidR="00256799" w:rsidRPr="005537E4" w:rsidRDefault="00256799" w:rsidP="00256799">
      <w:pPr>
        <w:numPr>
          <w:ilvl w:val="0"/>
          <w:numId w:val="7"/>
        </w:numPr>
        <w:rPr>
          <w:rFonts w:asciiTheme="minorHAnsi" w:hAnsiTheme="minorHAnsi"/>
          <w:u w:val="single"/>
        </w:rPr>
      </w:pPr>
      <w:r w:rsidRPr="005537E4">
        <w:rPr>
          <w:rFonts w:asciiTheme="minorHAnsi" w:hAnsiTheme="minorHAnsi"/>
        </w:rPr>
        <w:t xml:space="preserve">Modeling Start Date: </w:t>
      </w:r>
      <w:r w:rsidR="00472431">
        <w:rPr>
          <w:rFonts w:asciiTheme="minorHAnsi" w:hAnsiTheme="minorHAnsi"/>
        </w:rPr>
        <w:t>March 2011</w:t>
      </w:r>
      <w:r w:rsidRPr="005537E4">
        <w:rPr>
          <w:rFonts w:asciiTheme="minorHAnsi" w:hAnsiTheme="minorHAnsi"/>
        </w:rPr>
        <w:t xml:space="preserve">.  This start date is defined by the ARC as the initiation of the first model run for the </w:t>
      </w:r>
      <w:r w:rsidR="00B52189" w:rsidRPr="005537E4">
        <w:rPr>
          <w:rFonts w:asciiTheme="minorHAnsi" w:hAnsiTheme="minorHAnsi"/>
        </w:rPr>
        <w:t>Plan 2040 RTP</w:t>
      </w:r>
      <w:r w:rsidRPr="005537E4">
        <w:rPr>
          <w:rFonts w:asciiTheme="minorHAnsi" w:hAnsiTheme="minorHAnsi"/>
        </w:rPr>
        <w:t>, begun when all datasets needed for the model run were completed.</w:t>
      </w:r>
    </w:p>
    <w:p w:rsidR="00256799" w:rsidRPr="005537E4" w:rsidRDefault="00256799" w:rsidP="00256799">
      <w:pPr>
        <w:numPr>
          <w:ilvl w:val="0"/>
          <w:numId w:val="7"/>
        </w:numPr>
        <w:rPr>
          <w:rFonts w:asciiTheme="minorHAnsi" w:hAnsiTheme="minorHAnsi"/>
          <w:u w:val="single"/>
        </w:rPr>
      </w:pPr>
      <w:r w:rsidRPr="005537E4">
        <w:rPr>
          <w:rFonts w:asciiTheme="minorHAnsi" w:hAnsiTheme="minorHAnsi"/>
        </w:rPr>
        <w:t xml:space="preserve">Interagency Consensus on Planning Assumptions: </w:t>
      </w:r>
      <w:r w:rsidR="005537E4">
        <w:rPr>
          <w:rFonts w:asciiTheme="minorHAnsi" w:hAnsiTheme="minorHAnsi"/>
        </w:rPr>
        <w:t>January 25, 2011</w:t>
      </w:r>
      <w:r w:rsidR="00B52189" w:rsidRPr="005537E4">
        <w:rPr>
          <w:rFonts w:asciiTheme="minorHAnsi" w:hAnsiTheme="minorHAnsi"/>
        </w:rPr>
        <w:t>.</w:t>
      </w:r>
    </w:p>
    <w:p w:rsidR="00256799" w:rsidRPr="005537E4" w:rsidRDefault="00256799" w:rsidP="00256799">
      <w:pPr>
        <w:rPr>
          <w:rFonts w:asciiTheme="minorHAnsi" w:hAnsiTheme="minorHAnsi"/>
          <w:b/>
        </w:rPr>
      </w:pPr>
      <w:r w:rsidRPr="005537E4">
        <w:rPr>
          <w:rFonts w:asciiTheme="minorHAnsi" w:hAnsiTheme="minorHAnsi"/>
        </w:rPr>
        <w:t xml:space="preserve">  </w:t>
      </w:r>
    </w:p>
    <w:p w:rsidR="00256799" w:rsidRPr="005537E4" w:rsidRDefault="00256799" w:rsidP="00256799">
      <w:pPr>
        <w:rPr>
          <w:rFonts w:asciiTheme="minorHAnsi" w:hAnsiTheme="minorHAnsi"/>
          <w:b/>
        </w:rPr>
      </w:pPr>
      <w:r w:rsidRPr="005537E4">
        <w:rPr>
          <w:rFonts w:asciiTheme="minorHAnsi" w:hAnsiTheme="minorHAnsi"/>
          <w:b/>
        </w:rPr>
        <w:t>Section 2: Travel Demand Modeling Assumptions</w:t>
      </w:r>
    </w:p>
    <w:p w:rsidR="00256799" w:rsidRPr="005537E4" w:rsidRDefault="00256799" w:rsidP="00256799">
      <w:pPr>
        <w:pStyle w:val="NoSpacing"/>
        <w:numPr>
          <w:ilvl w:val="0"/>
          <w:numId w:val="13"/>
        </w:numPr>
        <w:ind w:left="360"/>
      </w:pPr>
      <w:r w:rsidRPr="005537E4">
        <w:t>Calibration Year: 2000 (wit</w:t>
      </w:r>
      <w:r w:rsidR="00B52189" w:rsidRPr="005537E4">
        <w:t>h some 2005 interim validations and benchmarking thereafter)</w:t>
      </w:r>
    </w:p>
    <w:p w:rsidR="00256799" w:rsidRPr="005537E4" w:rsidRDefault="00256799" w:rsidP="00256799">
      <w:pPr>
        <w:pStyle w:val="NoSpacing"/>
        <w:numPr>
          <w:ilvl w:val="0"/>
          <w:numId w:val="13"/>
        </w:numPr>
        <w:ind w:left="360"/>
      </w:pPr>
      <w:r w:rsidRPr="005537E4">
        <w:t xml:space="preserve">Project Listing:  Project listings will be provided in electronic format to Interagency </w:t>
      </w:r>
      <w:r w:rsidR="00DB28D5" w:rsidRPr="005537E4">
        <w:t>Consultation Group for review in the first quarter of 2011.</w:t>
      </w:r>
    </w:p>
    <w:p w:rsidR="00256799" w:rsidRPr="005537E4" w:rsidRDefault="00256799" w:rsidP="00256799">
      <w:pPr>
        <w:pStyle w:val="NoSpacing"/>
        <w:numPr>
          <w:ilvl w:val="1"/>
          <w:numId w:val="14"/>
        </w:numPr>
        <w:ind w:left="720"/>
      </w:pPr>
      <w:r w:rsidRPr="005537E4">
        <w:t>Regionally Significant and Federally Funded</w:t>
      </w:r>
      <w:r w:rsidRPr="005537E4">
        <w:tab/>
      </w:r>
    </w:p>
    <w:p w:rsidR="00256799" w:rsidRPr="005537E4" w:rsidRDefault="00256799" w:rsidP="00256799">
      <w:pPr>
        <w:pStyle w:val="NoSpacing"/>
        <w:numPr>
          <w:ilvl w:val="1"/>
          <w:numId w:val="14"/>
        </w:numPr>
        <w:ind w:left="720"/>
      </w:pPr>
      <w:r w:rsidRPr="005537E4">
        <w:t>Regionally Significant and Non-Federally Funded</w:t>
      </w:r>
    </w:p>
    <w:p w:rsidR="00256799" w:rsidRPr="005537E4" w:rsidRDefault="00256799" w:rsidP="00256799">
      <w:pPr>
        <w:pStyle w:val="NoSpacing"/>
        <w:numPr>
          <w:ilvl w:val="0"/>
          <w:numId w:val="13"/>
        </w:numPr>
        <w:ind w:left="360"/>
      </w:pPr>
      <w:r w:rsidRPr="005537E4">
        <w:t>Demographic Data:  Provided as separate attachment</w:t>
      </w:r>
    </w:p>
    <w:p w:rsidR="00256799" w:rsidRPr="005537E4" w:rsidRDefault="00256799" w:rsidP="00256799">
      <w:pPr>
        <w:pStyle w:val="NoSpacing"/>
        <w:numPr>
          <w:ilvl w:val="0"/>
          <w:numId w:val="13"/>
        </w:numPr>
        <w:ind w:left="360"/>
      </w:pPr>
      <w:r w:rsidRPr="005537E4">
        <w:t>Speed Data: Free-flow Speed by Area Type and Facility Type</w:t>
      </w:r>
      <w:r w:rsidRPr="005537E4">
        <w:rPr>
          <w:rStyle w:val="FootnoteReference"/>
          <w:rFonts w:asciiTheme="minorHAnsi" w:hAnsiTheme="minorHAnsi"/>
        </w:rPr>
        <w:footnoteReference w:id="2"/>
      </w:r>
      <w:r w:rsidRPr="005537E4">
        <w:t xml:space="preserve"> </w:t>
      </w:r>
    </w:p>
    <w:p w:rsidR="00256799" w:rsidRPr="005537E4" w:rsidRDefault="00256799" w:rsidP="00256799">
      <w:pPr>
        <w:rPr>
          <w:rFonts w:asciiTheme="minorHAnsi" w:hAnsiTheme="minorHAnsi"/>
        </w:rPr>
      </w:pPr>
    </w:p>
    <w:p w:rsidR="00256799" w:rsidRPr="005537E4" w:rsidRDefault="00256799" w:rsidP="00256799">
      <w:pPr>
        <w:rPr>
          <w:rFonts w:asciiTheme="minorHAnsi" w:hAnsiTheme="minorHAnsi"/>
        </w:rPr>
      </w:pPr>
    </w:p>
    <w:p w:rsidR="00256799" w:rsidRPr="005537E4" w:rsidRDefault="00256799" w:rsidP="00256799">
      <w:pPr>
        <w:rPr>
          <w:rFonts w:asciiTheme="minorHAnsi" w:hAnsiTheme="minorHAnsi"/>
        </w:rPr>
      </w:pPr>
    </w:p>
    <w:p w:rsidR="00256799" w:rsidRPr="005537E4" w:rsidRDefault="00256799" w:rsidP="00256799">
      <w:pPr>
        <w:rPr>
          <w:rFonts w:asciiTheme="minorHAnsi" w:hAnsiTheme="minorHAnsi"/>
        </w:rPr>
      </w:pPr>
    </w:p>
    <w:p w:rsidR="00256799" w:rsidRPr="005537E4" w:rsidRDefault="00256799" w:rsidP="00256799">
      <w:pPr>
        <w:rPr>
          <w:rFonts w:asciiTheme="minorHAnsi" w:hAnsiTheme="minorHAnsi"/>
        </w:rPr>
      </w:pPr>
    </w:p>
    <w:tbl>
      <w:tblPr>
        <w:tblW w:w="9334" w:type="dxa"/>
        <w:jc w:val="center"/>
        <w:tblLayout w:type="fixed"/>
        <w:tblCellMar>
          <w:left w:w="10" w:type="dxa"/>
          <w:right w:w="10" w:type="dxa"/>
        </w:tblCellMar>
        <w:tblLook w:val="0000"/>
      </w:tblPr>
      <w:tblGrid>
        <w:gridCol w:w="340"/>
        <w:gridCol w:w="2338"/>
        <w:gridCol w:w="1013"/>
        <w:gridCol w:w="1080"/>
        <w:gridCol w:w="900"/>
        <w:gridCol w:w="774"/>
        <w:gridCol w:w="822"/>
        <w:gridCol w:w="719"/>
        <w:gridCol w:w="480"/>
        <w:gridCol w:w="868"/>
      </w:tblGrid>
      <w:tr w:rsidR="00256799" w:rsidRPr="005537E4" w:rsidTr="00B52189">
        <w:trPr>
          <w:trHeight w:val="350"/>
          <w:tblHeader/>
          <w:jc w:val="center"/>
        </w:trPr>
        <w:tc>
          <w:tcPr>
            <w:tcW w:w="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56799" w:rsidRPr="005537E4" w:rsidRDefault="00256799" w:rsidP="00B52189">
            <w:pPr>
              <w:jc w:val="center"/>
              <w:rPr>
                <w:rFonts w:asciiTheme="minorHAnsi" w:hAnsiTheme="minorHAnsi"/>
                <w:b/>
              </w:rPr>
            </w:pPr>
            <w:r w:rsidRPr="005537E4">
              <w:rPr>
                <w:rFonts w:asciiTheme="minorHAnsi" w:hAnsiTheme="minorHAnsi"/>
              </w:rPr>
              <w:lastRenderedPageBreak/>
              <w:t xml:space="preserve">     </w:t>
            </w:r>
          </w:p>
        </w:tc>
        <w:tc>
          <w:tcPr>
            <w:tcW w:w="2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256799" w:rsidRPr="005537E4" w:rsidRDefault="00256799" w:rsidP="00B52189">
            <w:pPr>
              <w:jc w:val="center"/>
              <w:rPr>
                <w:rFonts w:asciiTheme="minorHAnsi" w:hAnsiTheme="minorHAnsi"/>
                <w:b/>
              </w:rPr>
            </w:pPr>
          </w:p>
        </w:tc>
        <w:tc>
          <w:tcPr>
            <w:tcW w:w="5788"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256799" w:rsidRPr="005537E4" w:rsidRDefault="00256799" w:rsidP="00B52189">
            <w:pPr>
              <w:jc w:val="center"/>
              <w:rPr>
                <w:rFonts w:asciiTheme="minorHAnsi" w:hAnsiTheme="minorHAnsi"/>
                <w:b/>
              </w:rPr>
            </w:pPr>
            <w:r w:rsidRPr="005537E4">
              <w:rPr>
                <w:rFonts w:asciiTheme="minorHAnsi" w:hAnsiTheme="minorHAnsi"/>
                <w:b/>
              </w:rPr>
              <w:t>Area Type</w:t>
            </w:r>
          </w:p>
        </w:tc>
        <w:tc>
          <w:tcPr>
            <w:tcW w:w="8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256799" w:rsidRPr="005537E4" w:rsidRDefault="00256799" w:rsidP="00B52189">
            <w:pPr>
              <w:jc w:val="center"/>
              <w:rPr>
                <w:rFonts w:asciiTheme="minorHAnsi" w:hAnsiTheme="minorHAnsi"/>
                <w:b/>
              </w:rPr>
            </w:pPr>
          </w:p>
        </w:tc>
      </w:tr>
      <w:tr w:rsidR="00256799" w:rsidRPr="005537E4" w:rsidTr="00B52189">
        <w:trPr>
          <w:trHeight w:val="648"/>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c>
          <w:tcPr>
            <w:tcW w:w="233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Facility Type</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Urban Very High Density</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Urban High Density</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Urban Medium Density</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Urban Low Density</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Suburban</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Exurban</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Rural</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sz w:val="20"/>
                <w:szCs w:val="20"/>
              </w:rPr>
            </w:pPr>
            <w:r w:rsidRPr="005537E4">
              <w:rPr>
                <w:rFonts w:asciiTheme="minorHAnsi" w:hAnsiTheme="minorHAnsi"/>
                <w:sz w:val="20"/>
                <w:szCs w:val="20"/>
              </w:rPr>
              <w:t>Metered Ramps</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0</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Zone Centroid Connectors</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7</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11</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11</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11</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11</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14</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14</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Interstate / Freeway  Free Flow</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63</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Parkway</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57</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HOV Buffer Separated</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63</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HOV Barrier Separated</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58</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61</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63</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High Speed Ramp / CD Road</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57</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15</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Medium Speed Ramp</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7</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Low Speed Ramp</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8</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Loop Ramp</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9</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Off Ramp w/ Intersection</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10</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On Ramp w/ Intersection</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11</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Expressway</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42</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48</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52</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60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12</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Principal Arterial - Class I</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26</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33</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36</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42</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46</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13</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Principal Arterial - Class II</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24</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27</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34</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44</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48</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14</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Minor Arterial - Class I</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22</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28</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31</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38</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42</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15</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Minor Arterial - Class II</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23</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26</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29</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34</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38</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42</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16</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HOV - Arterial (all classes)</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27</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33</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36</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39</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42</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17</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Major Collector</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18</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22</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28</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31</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34</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38</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18</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Minor Collector</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18</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21</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24</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27</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19</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Planned Ramps w/ Intersections</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30</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5</w:t>
            </w:r>
          </w:p>
        </w:tc>
      </w:tr>
      <w:tr w:rsidR="00256799" w:rsidRPr="005537E4" w:rsidTr="00B52189">
        <w:trPr>
          <w:trHeight w:val="255"/>
          <w:jc w:val="center"/>
        </w:trPr>
        <w:tc>
          <w:tcPr>
            <w:tcW w:w="34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20</w:t>
            </w:r>
          </w:p>
        </w:tc>
        <w:tc>
          <w:tcPr>
            <w:tcW w:w="2338" w:type="dxa"/>
            <w:tcBorders>
              <w:top w:val="single" w:sz="4" w:space="0" w:color="auto"/>
              <w:left w:val="single" w:sz="4" w:space="0" w:color="auto"/>
              <w:bottom w:val="single" w:sz="4" w:space="0" w:color="auto"/>
              <w:right w:val="single" w:sz="4" w:space="0" w:color="auto"/>
            </w:tcBorders>
            <w:vAlign w:val="bottom"/>
          </w:tcPr>
          <w:p w:rsidR="00256799" w:rsidRPr="005537E4" w:rsidRDefault="00256799" w:rsidP="00B52189">
            <w:pPr>
              <w:spacing w:after="40"/>
              <w:rPr>
                <w:rFonts w:asciiTheme="minorHAnsi" w:hAnsiTheme="minorHAnsi"/>
              </w:rPr>
            </w:pPr>
            <w:r w:rsidRPr="005537E4">
              <w:rPr>
                <w:rFonts w:asciiTheme="minorHAnsi" w:hAnsiTheme="minorHAnsi"/>
              </w:rPr>
              <w:t>Planned Directional Ramps</w:t>
            </w:r>
          </w:p>
        </w:tc>
        <w:tc>
          <w:tcPr>
            <w:tcW w:w="1013"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10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90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774"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822"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719"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48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45</w:t>
            </w:r>
          </w:p>
        </w:tc>
        <w:tc>
          <w:tcPr>
            <w:tcW w:w="868"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spacing w:after="40"/>
              <w:jc w:val="center"/>
              <w:rPr>
                <w:rFonts w:asciiTheme="minorHAnsi" w:hAnsiTheme="minorHAnsi"/>
              </w:rPr>
            </w:pPr>
            <w:r w:rsidRPr="005537E4">
              <w:rPr>
                <w:rFonts w:asciiTheme="minorHAnsi" w:hAnsiTheme="minorHAnsi"/>
              </w:rPr>
              <w:t>10</w:t>
            </w:r>
          </w:p>
        </w:tc>
      </w:tr>
    </w:tbl>
    <w:p w:rsidR="00256799" w:rsidRPr="005537E4" w:rsidRDefault="00256799" w:rsidP="00256799">
      <w:pPr>
        <w:spacing w:after="0"/>
        <w:rPr>
          <w:rFonts w:asciiTheme="minorHAnsi" w:hAnsiTheme="minorHAnsi"/>
        </w:rPr>
      </w:pPr>
    </w:p>
    <w:p w:rsidR="00256799" w:rsidRPr="005537E4" w:rsidRDefault="00256799" w:rsidP="00256799">
      <w:pPr>
        <w:rPr>
          <w:rFonts w:asciiTheme="minorHAnsi" w:hAnsiTheme="minorHAnsi"/>
        </w:rPr>
      </w:pPr>
    </w:p>
    <w:p w:rsidR="00256799" w:rsidRPr="005537E4" w:rsidRDefault="00256799" w:rsidP="00256799">
      <w:pPr>
        <w:pStyle w:val="NoSpacing"/>
        <w:numPr>
          <w:ilvl w:val="0"/>
          <w:numId w:val="13"/>
        </w:numPr>
        <w:ind w:left="360"/>
      </w:pPr>
      <w:r w:rsidRPr="005537E4">
        <w:t>Transit Modeling</w:t>
      </w:r>
    </w:p>
    <w:p w:rsidR="00256799" w:rsidRPr="005537E4" w:rsidRDefault="00256799" w:rsidP="00256799">
      <w:pPr>
        <w:pStyle w:val="NoSpacing"/>
        <w:numPr>
          <w:ilvl w:val="0"/>
          <w:numId w:val="15"/>
        </w:numPr>
      </w:pPr>
      <w:r w:rsidRPr="005537E4">
        <w:t>Model recalibrated to 2000 transit ridership estimates, provided by transit operators</w:t>
      </w:r>
    </w:p>
    <w:p w:rsidR="00256799" w:rsidRPr="005537E4" w:rsidRDefault="00256799" w:rsidP="00256799">
      <w:pPr>
        <w:pStyle w:val="NoSpacing"/>
        <w:numPr>
          <w:ilvl w:val="0"/>
          <w:numId w:val="15"/>
        </w:numPr>
      </w:pPr>
      <w:r w:rsidRPr="005537E4">
        <w:t>Reflects results from the 2001-2002 Transit On Board Survey</w:t>
      </w:r>
      <w:r w:rsidR="00B31B06" w:rsidRPr="005537E4">
        <w:t>, with preliminary adjustments from 2009 Transit On Board Survey</w:t>
      </w:r>
    </w:p>
    <w:p w:rsidR="00256799" w:rsidRPr="005537E4" w:rsidRDefault="00256799" w:rsidP="00256799">
      <w:pPr>
        <w:pStyle w:val="NoSpacing"/>
        <w:numPr>
          <w:ilvl w:val="0"/>
          <w:numId w:val="15"/>
        </w:numPr>
      </w:pPr>
      <w:r w:rsidRPr="005537E4">
        <w:t>Routes updated to reflect current operating plans</w:t>
      </w:r>
    </w:p>
    <w:p w:rsidR="00256799" w:rsidRPr="005537E4" w:rsidRDefault="00256799" w:rsidP="00256799">
      <w:pPr>
        <w:pStyle w:val="NoSpacing"/>
        <w:numPr>
          <w:ilvl w:val="0"/>
          <w:numId w:val="15"/>
        </w:numPr>
      </w:pPr>
      <w:r w:rsidRPr="005537E4">
        <w:lastRenderedPageBreak/>
        <w:t xml:space="preserve">Transit mode split is estimated using the mode choice model </w:t>
      </w:r>
    </w:p>
    <w:p w:rsidR="00256799" w:rsidRPr="005537E4" w:rsidRDefault="00256799" w:rsidP="00256799">
      <w:pPr>
        <w:pStyle w:val="NoSpacing"/>
        <w:tabs>
          <w:tab w:val="left" w:pos="1080"/>
        </w:tabs>
        <w:ind w:left="1080" w:hanging="1080"/>
        <w:rPr>
          <w:rFonts w:asciiTheme="minorHAnsi" w:hAnsiTheme="minorHAnsi"/>
        </w:rPr>
      </w:pPr>
      <w:r w:rsidRPr="005537E4">
        <w:rPr>
          <w:rFonts w:asciiTheme="minorHAnsi" w:hAnsiTheme="minorHAnsi"/>
        </w:rPr>
        <w:t xml:space="preserve">            i)   Estimates individual modal trips from the person trip movements developed in the trip distribution model.   </w:t>
      </w:r>
    </w:p>
    <w:p w:rsidR="00256799" w:rsidRPr="005537E4" w:rsidRDefault="00256799" w:rsidP="00256799">
      <w:pPr>
        <w:pStyle w:val="NoSpacing"/>
        <w:rPr>
          <w:rFonts w:asciiTheme="minorHAnsi" w:hAnsiTheme="minorHAnsi"/>
        </w:rPr>
      </w:pPr>
      <w:r w:rsidRPr="005537E4">
        <w:rPr>
          <w:rFonts w:asciiTheme="minorHAnsi" w:hAnsiTheme="minorHAnsi"/>
        </w:rPr>
        <w:t xml:space="preserve">            ii)   Composed of three nested logit models: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(1) Home based work trips, which includes home based university trips;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(2) Home based other trips, which include home based other, home based shopping and home based grade school; and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(3) Non-home based trips.  </w:t>
      </w:r>
    </w:p>
    <w:p w:rsidR="00256799" w:rsidRPr="005537E4" w:rsidRDefault="00256799" w:rsidP="00256799">
      <w:pPr>
        <w:pStyle w:val="NoSpacing"/>
        <w:rPr>
          <w:rFonts w:asciiTheme="minorHAnsi" w:hAnsiTheme="minorHAnsi"/>
        </w:rPr>
      </w:pPr>
      <w:r w:rsidRPr="005537E4">
        <w:rPr>
          <w:rFonts w:asciiTheme="minorHAnsi" w:hAnsiTheme="minorHAnsi"/>
        </w:rPr>
        <w:t xml:space="preserve">            </w:t>
      </w:r>
      <w:r w:rsidR="00227751">
        <w:rPr>
          <w:rFonts w:asciiTheme="minorHAnsi" w:hAnsiTheme="minorHAnsi"/>
        </w:rPr>
        <w:t>iii)   The mode choice model</w:t>
      </w:r>
      <w:r w:rsidR="00227751" w:rsidRPr="005537E4">
        <w:rPr>
          <w:rFonts w:asciiTheme="minorHAnsi" w:hAnsiTheme="minorHAnsi"/>
        </w:rPr>
        <w:t xml:space="preserve"> is organized in terms of seven characteristics: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(1) Mathematical structure;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(2) Trip purposes and choice sets;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(3) Limitations on choice sets;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(4) Analysis of transit access;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(5) Treatment of HOV lanes;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(6) Stratification by income groups; and</w:t>
      </w:r>
    </w:p>
    <w:p w:rsidR="00256799" w:rsidRPr="005537E4" w:rsidRDefault="00256799" w:rsidP="00256799">
      <w:pPr>
        <w:pStyle w:val="NoSpacing"/>
        <w:ind w:left="1440" w:hanging="360"/>
        <w:rPr>
          <w:rFonts w:asciiTheme="minorHAnsi" w:hAnsiTheme="minorHAnsi"/>
          <w:b/>
          <w:bCs/>
        </w:rPr>
      </w:pPr>
      <w:r w:rsidRPr="005537E4">
        <w:rPr>
          <w:rFonts w:asciiTheme="minorHAnsi" w:hAnsiTheme="minorHAnsi"/>
        </w:rPr>
        <w:t xml:space="preserve">(7) Analysis of alternative transit paths. </w:t>
      </w:r>
    </w:p>
    <w:p w:rsidR="00256799" w:rsidRPr="005537E4" w:rsidRDefault="00256799" w:rsidP="00256799">
      <w:pPr>
        <w:pStyle w:val="NoSpacing"/>
        <w:ind w:firstLine="270"/>
        <w:rPr>
          <w:rFonts w:asciiTheme="minorHAnsi" w:hAnsiTheme="minorHAnsi"/>
        </w:rPr>
      </w:pPr>
      <w:r w:rsidRPr="005537E4">
        <w:rPr>
          <w:rFonts w:asciiTheme="minorHAnsi" w:hAnsiTheme="minorHAnsi"/>
        </w:rPr>
        <w:t>e)   Transit Fare Modeling</w:t>
      </w:r>
    </w:p>
    <w:p w:rsidR="00256799" w:rsidRPr="005537E4" w:rsidRDefault="00256799" w:rsidP="00256799">
      <w:pPr>
        <w:pStyle w:val="NoSpacing"/>
        <w:ind w:left="720" w:hanging="90"/>
        <w:rPr>
          <w:rFonts w:asciiTheme="minorHAnsi" w:hAnsiTheme="minorHAnsi"/>
        </w:rPr>
      </w:pPr>
      <w:r w:rsidRPr="005537E4">
        <w:rPr>
          <w:rFonts w:asciiTheme="minorHAnsi" w:hAnsiTheme="minorHAnsi"/>
        </w:rPr>
        <w:t>i)   Fare structure and operating plans supplied by the local transit operators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(1) Fares remain constant over time, across all network years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(2) Fares reflect current transit operating plans </w:t>
      </w:r>
    </w:p>
    <w:p w:rsidR="00256799" w:rsidRPr="005537E4" w:rsidRDefault="00256799" w:rsidP="00256799">
      <w:pPr>
        <w:pStyle w:val="NoSpacing"/>
        <w:ind w:left="720" w:hanging="180"/>
        <w:rPr>
          <w:rFonts w:asciiTheme="minorHAnsi" w:hAnsiTheme="minorHAnsi"/>
        </w:rPr>
      </w:pPr>
      <w:r w:rsidRPr="005537E4">
        <w:rPr>
          <w:rFonts w:asciiTheme="minorHAnsi" w:hAnsiTheme="minorHAnsi"/>
        </w:rPr>
        <w:t>ii)   Transit fare structure uses a fare matrix on a zone to zone level with a universal fare structure (flat fare) for all bus and rail lines</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 xml:space="preserve">(1) Changes to the existing fare structure and service frequency are coded directly into the model </w:t>
      </w:r>
    </w:p>
    <w:p w:rsidR="00256799" w:rsidRPr="005537E4" w:rsidRDefault="00227751" w:rsidP="00256799">
      <w:pPr>
        <w:pStyle w:val="NoSpacing"/>
        <w:ind w:left="1440" w:hanging="360"/>
        <w:rPr>
          <w:rFonts w:asciiTheme="minorHAnsi" w:hAnsiTheme="minorHAnsi"/>
        </w:rPr>
      </w:pPr>
      <w:r w:rsidRPr="005537E4">
        <w:rPr>
          <w:rFonts w:asciiTheme="minorHAnsi" w:hAnsiTheme="minorHAnsi"/>
        </w:rPr>
        <w:t xml:space="preserve">(2) Current fare values in the model are weighted according to the percentage of riders using a discounted fare pass; changes to these assumptions can be incorporated directly into the model </w:t>
      </w:r>
    </w:p>
    <w:p w:rsidR="00256799" w:rsidRPr="005537E4" w:rsidRDefault="00256799" w:rsidP="00256799">
      <w:pPr>
        <w:pStyle w:val="NoSpacing"/>
        <w:ind w:left="1440" w:hanging="360"/>
        <w:rPr>
          <w:rFonts w:asciiTheme="minorHAnsi" w:hAnsiTheme="minorHAnsi"/>
        </w:rPr>
      </w:pPr>
      <w:r w:rsidRPr="005537E4">
        <w:rPr>
          <w:rFonts w:asciiTheme="minorHAnsi" w:hAnsiTheme="minorHAnsi"/>
        </w:rPr>
        <w:t>(3) Peak and off-peak fares are equivalent</w:t>
      </w:r>
    </w:p>
    <w:p w:rsidR="00417923" w:rsidRPr="005537E4" w:rsidRDefault="00B52189" w:rsidP="00B52189">
      <w:pPr>
        <w:pStyle w:val="NoSpacing"/>
        <w:ind w:firstLine="270"/>
        <w:rPr>
          <w:rFonts w:asciiTheme="minorHAnsi" w:hAnsiTheme="minorHAnsi"/>
        </w:rPr>
      </w:pPr>
      <w:r w:rsidRPr="005537E4">
        <w:rPr>
          <w:rFonts w:asciiTheme="minorHAnsi" w:hAnsiTheme="minorHAnsi"/>
        </w:rPr>
        <w:t xml:space="preserve"> f)   </w:t>
      </w:r>
      <w:r w:rsidR="00B31B06" w:rsidRPr="005537E4">
        <w:rPr>
          <w:rFonts w:asciiTheme="minorHAnsi" w:hAnsiTheme="minorHAnsi"/>
        </w:rPr>
        <w:t xml:space="preserve">2009 Transit On Board Survey </w:t>
      </w:r>
      <w:r w:rsidRPr="005537E4">
        <w:rPr>
          <w:rFonts w:asciiTheme="minorHAnsi" w:hAnsiTheme="minorHAnsi"/>
        </w:rPr>
        <w:t>interim adjustments</w:t>
      </w:r>
    </w:p>
    <w:p w:rsidR="00B52189" w:rsidRPr="005537E4" w:rsidRDefault="00417923" w:rsidP="00417923">
      <w:pPr>
        <w:pStyle w:val="NoSpacing"/>
        <w:ind w:left="810" w:hanging="270"/>
        <w:rPr>
          <w:rFonts w:asciiTheme="minorHAnsi" w:hAnsiTheme="minorHAnsi"/>
        </w:rPr>
      </w:pPr>
      <w:r w:rsidRPr="005537E4">
        <w:rPr>
          <w:rFonts w:asciiTheme="minorHAnsi" w:hAnsiTheme="minorHAnsi"/>
        </w:rPr>
        <w:t>i)   Update of regional transit travel targets based on a preliminary expansion of the raw on-board survey data</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(1)  Modifications to express bus and BRT transfer constants</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(2)  Modifications to travel demand model estimates of zero-car transit work trips</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(3)  Modifications to travel demand model estimates of kiss-and-ride passenger access and use of transit system</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(4)  Overall evaluation of all modal constants</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(5)  Refinement to park-and-ride lot assumptions</w:t>
      </w:r>
    </w:p>
    <w:p w:rsidR="00417923" w:rsidRPr="005537E4" w:rsidRDefault="00417923" w:rsidP="00417923">
      <w:pPr>
        <w:pStyle w:val="NoSpacing"/>
        <w:ind w:left="1440" w:hanging="360"/>
        <w:rPr>
          <w:rFonts w:asciiTheme="minorHAnsi" w:hAnsiTheme="minorHAnsi"/>
        </w:rPr>
      </w:pPr>
      <w:r w:rsidRPr="005537E4">
        <w:rPr>
          <w:rFonts w:asciiTheme="minorHAnsi" w:hAnsiTheme="minorHAnsi"/>
        </w:rPr>
        <w:t xml:space="preserve">(6)  </w:t>
      </w:r>
      <w:r w:rsidR="00B31B06" w:rsidRPr="005537E4">
        <w:rPr>
          <w:rFonts w:asciiTheme="minorHAnsi" w:hAnsiTheme="minorHAnsi"/>
        </w:rPr>
        <w:t>Updated walk connector and percent walk procedures</w:t>
      </w:r>
    </w:p>
    <w:p w:rsidR="00B31B06" w:rsidRPr="005537E4" w:rsidRDefault="00B31B06" w:rsidP="00B31B06">
      <w:pPr>
        <w:pStyle w:val="NoSpacing"/>
        <w:ind w:left="810" w:hanging="270"/>
        <w:rPr>
          <w:rFonts w:asciiTheme="minorHAnsi" w:hAnsiTheme="minorHAnsi"/>
        </w:rPr>
      </w:pPr>
      <w:r w:rsidRPr="005537E4">
        <w:rPr>
          <w:rFonts w:asciiTheme="minorHAnsi" w:hAnsiTheme="minorHAnsi"/>
        </w:rPr>
        <w:t>ii)  Modified transit skimming procedures</w:t>
      </w:r>
    </w:p>
    <w:p w:rsidR="00B31B06" w:rsidRPr="005537E4" w:rsidRDefault="00B31B06" w:rsidP="00B31B06">
      <w:pPr>
        <w:pStyle w:val="NoSpacing"/>
        <w:ind w:left="810" w:hanging="270"/>
        <w:rPr>
          <w:rFonts w:asciiTheme="minorHAnsi" w:hAnsiTheme="minorHAnsi"/>
        </w:rPr>
      </w:pPr>
      <w:r w:rsidRPr="005537E4">
        <w:rPr>
          <w:rFonts w:asciiTheme="minorHAnsi" w:hAnsiTheme="minorHAnsi"/>
        </w:rPr>
        <w:t>iii) Re-calibrated air passenger model</w:t>
      </w:r>
    </w:p>
    <w:p w:rsidR="00B31B06" w:rsidRPr="005537E4" w:rsidRDefault="00B31B06" w:rsidP="00B31B06">
      <w:pPr>
        <w:pStyle w:val="NoSpacing"/>
        <w:ind w:left="810" w:hanging="270"/>
        <w:rPr>
          <w:rFonts w:asciiTheme="minorHAnsi" w:hAnsiTheme="minorHAnsi"/>
        </w:rPr>
      </w:pPr>
      <w:r w:rsidRPr="005537E4">
        <w:rPr>
          <w:rFonts w:asciiTheme="minorHAnsi" w:hAnsiTheme="minorHAnsi"/>
        </w:rPr>
        <w:t>iv) Assessment of travel demand model understanding of market segments and travel patterns relative to the on-board survey records</w:t>
      </w:r>
    </w:p>
    <w:p w:rsidR="00256799" w:rsidRPr="005537E4" w:rsidRDefault="00256799" w:rsidP="00256799">
      <w:pPr>
        <w:rPr>
          <w:rFonts w:asciiTheme="minorHAnsi" w:hAnsiTheme="minorHAnsi"/>
        </w:rPr>
      </w:pPr>
    </w:p>
    <w:p w:rsidR="00B31B06" w:rsidRPr="005537E4" w:rsidRDefault="00B31B06" w:rsidP="00256799">
      <w:pPr>
        <w:rPr>
          <w:rFonts w:asciiTheme="minorHAnsi" w:hAnsiTheme="minorHAnsi"/>
          <w:b/>
        </w:rPr>
      </w:pPr>
    </w:p>
    <w:p w:rsidR="00B31B06" w:rsidRPr="005537E4" w:rsidRDefault="00B31B06" w:rsidP="00256799">
      <w:pPr>
        <w:rPr>
          <w:rFonts w:asciiTheme="minorHAnsi" w:hAnsiTheme="minorHAnsi"/>
          <w:b/>
        </w:rPr>
      </w:pPr>
    </w:p>
    <w:p w:rsidR="00B31B06" w:rsidRPr="005537E4" w:rsidRDefault="00B31B06" w:rsidP="00256799">
      <w:pPr>
        <w:rPr>
          <w:rFonts w:asciiTheme="minorHAnsi" w:hAnsiTheme="minorHAnsi"/>
          <w:b/>
        </w:rPr>
      </w:pPr>
    </w:p>
    <w:p w:rsidR="00256799" w:rsidRPr="005537E4" w:rsidRDefault="00256799" w:rsidP="00256799">
      <w:pPr>
        <w:rPr>
          <w:rFonts w:asciiTheme="minorHAnsi" w:hAnsiTheme="minorHAnsi"/>
          <w:b/>
        </w:rPr>
      </w:pPr>
      <w:r w:rsidRPr="005537E4">
        <w:rPr>
          <w:rFonts w:asciiTheme="minorHAnsi" w:hAnsiTheme="minorHAnsi"/>
          <w:b/>
        </w:rPr>
        <w:t xml:space="preserve">Section 3: Emissions Modeling Assumptions </w:t>
      </w:r>
    </w:p>
    <w:p w:rsidR="00256799" w:rsidRPr="005537E4" w:rsidRDefault="00256799" w:rsidP="00256799">
      <w:pPr>
        <w:numPr>
          <w:ilvl w:val="0"/>
          <w:numId w:val="4"/>
        </w:numPr>
        <w:spacing w:after="0" w:line="240" w:lineRule="auto"/>
      </w:pPr>
      <w:r w:rsidRPr="005537E4">
        <w:t>Emissions Factor Model: MOBILE6.2.03</w:t>
      </w:r>
    </w:p>
    <w:p w:rsidR="00256799" w:rsidRPr="005537E4" w:rsidRDefault="00256799" w:rsidP="00256799">
      <w:pPr>
        <w:numPr>
          <w:ilvl w:val="0"/>
          <w:numId w:val="4"/>
        </w:numPr>
        <w:spacing w:after="0" w:line="240" w:lineRule="auto"/>
        <w:rPr>
          <w:rFonts w:ascii="Times New Roman" w:hAnsi="Times New Roman"/>
        </w:rPr>
      </w:pPr>
      <w:r w:rsidRPr="005537E4">
        <w:t>Eight Hour Ozone Standard MOBILE6.2.03 Inputs (13-county portion)</w:t>
      </w:r>
      <w:r w:rsidRPr="005537E4">
        <w:rPr>
          <w:rStyle w:val="FootnoteReference"/>
        </w:rPr>
        <w:footnoteReference w:id="3"/>
      </w:r>
    </w:p>
    <w:p w:rsidR="00256799" w:rsidRPr="005537E4" w:rsidRDefault="00256799" w:rsidP="00256799">
      <w:pPr>
        <w:numPr>
          <w:ilvl w:val="1"/>
          <w:numId w:val="4"/>
        </w:numPr>
        <w:spacing w:after="0" w:line="240" w:lineRule="auto"/>
        <w:rPr>
          <w:rFonts w:ascii="Times New Roman" w:hAnsi="Times New Roman"/>
        </w:rPr>
      </w:pPr>
      <w:r w:rsidRPr="005537E4">
        <w:t>Average hourly temperature and relative humidity and average daily barometric pressure for the 10 highest ozone days, 2000 – 2002</w:t>
      </w:r>
    </w:p>
    <w:p w:rsidR="00256799" w:rsidRPr="005537E4" w:rsidRDefault="00256799" w:rsidP="00256799">
      <w:pPr>
        <w:numPr>
          <w:ilvl w:val="1"/>
          <w:numId w:val="4"/>
        </w:numPr>
        <w:spacing w:after="0" w:line="240" w:lineRule="auto"/>
      </w:pPr>
      <w:r w:rsidRPr="005537E4">
        <w:t>Stage II refueling</w:t>
      </w:r>
    </w:p>
    <w:p w:rsidR="00256799" w:rsidRPr="005537E4" w:rsidRDefault="00256799" w:rsidP="00256799">
      <w:pPr>
        <w:numPr>
          <w:ilvl w:val="2"/>
          <w:numId w:val="4"/>
        </w:numPr>
        <w:spacing w:after="0" w:line="240" w:lineRule="auto"/>
      </w:pPr>
      <w:r w:rsidRPr="005537E4">
        <w:t>Started in 1992</w:t>
      </w:r>
    </w:p>
    <w:p w:rsidR="00256799" w:rsidRPr="005537E4" w:rsidRDefault="00256799" w:rsidP="00256799">
      <w:pPr>
        <w:numPr>
          <w:ilvl w:val="2"/>
          <w:numId w:val="4"/>
        </w:numPr>
        <w:spacing w:after="0" w:line="240" w:lineRule="auto"/>
      </w:pPr>
      <w:r w:rsidRPr="005537E4">
        <w:t>Three phase in years</w:t>
      </w:r>
    </w:p>
    <w:p w:rsidR="00256799" w:rsidRPr="005537E4" w:rsidRDefault="00256799" w:rsidP="00256799">
      <w:pPr>
        <w:numPr>
          <w:ilvl w:val="2"/>
          <w:numId w:val="4"/>
        </w:numPr>
        <w:spacing w:after="0" w:line="240" w:lineRule="auto"/>
      </w:pPr>
      <w:r w:rsidRPr="005537E4">
        <w:t>81% efficiency</w:t>
      </w:r>
    </w:p>
    <w:p w:rsidR="00256799" w:rsidRPr="005537E4" w:rsidRDefault="00256799" w:rsidP="00256799">
      <w:pPr>
        <w:numPr>
          <w:ilvl w:val="1"/>
          <w:numId w:val="4"/>
        </w:numPr>
        <w:spacing w:after="0" w:line="240" w:lineRule="auto"/>
      </w:pPr>
      <w:r w:rsidRPr="005537E4">
        <w:t>Anti-tampering program</w:t>
      </w:r>
    </w:p>
    <w:p w:rsidR="00256799" w:rsidRPr="005537E4" w:rsidRDefault="00256799" w:rsidP="00256799">
      <w:pPr>
        <w:numPr>
          <w:ilvl w:val="2"/>
          <w:numId w:val="4"/>
        </w:numPr>
        <w:spacing w:after="0" w:line="240" w:lineRule="auto"/>
      </w:pPr>
      <w:r w:rsidRPr="005537E4">
        <w:t>Started in 1982</w:t>
      </w:r>
    </w:p>
    <w:p w:rsidR="00256799" w:rsidRPr="005537E4" w:rsidRDefault="00256799" w:rsidP="00256799">
      <w:pPr>
        <w:numPr>
          <w:ilvl w:val="2"/>
          <w:numId w:val="4"/>
        </w:numPr>
        <w:spacing w:after="0" w:line="240" w:lineRule="auto"/>
      </w:pPr>
      <w:r w:rsidRPr="005537E4">
        <w:t>Covers model years 1975 – 1995</w:t>
      </w:r>
    </w:p>
    <w:p w:rsidR="00256799" w:rsidRPr="005537E4" w:rsidRDefault="00256799" w:rsidP="00256799">
      <w:pPr>
        <w:numPr>
          <w:ilvl w:val="2"/>
          <w:numId w:val="4"/>
        </w:numPr>
        <w:spacing w:after="0" w:line="240" w:lineRule="auto"/>
      </w:pPr>
      <w:r w:rsidRPr="005537E4">
        <w:t>All LDG vehicle types are covered</w:t>
      </w:r>
    </w:p>
    <w:p w:rsidR="00256799" w:rsidRPr="005537E4" w:rsidRDefault="00256799" w:rsidP="00256799">
      <w:pPr>
        <w:numPr>
          <w:ilvl w:val="2"/>
          <w:numId w:val="4"/>
        </w:numPr>
        <w:spacing w:after="0" w:line="240" w:lineRule="auto"/>
      </w:pPr>
      <w:r w:rsidRPr="005537E4">
        <w:t>Annual program</w:t>
      </w:r>
    </w:p>
    <w:p w:rsidR="00256799" w:rsidRPr="005537E4" w:rsidRDefault="00256799" w:rsidP="00256799">
      <w:pPr>
        <w:numPr>
          <w:ilvl w:val="2"/>
          <w:numId w:val="4"/>
        </w:numPr>
        <w:spacing w:after="0" w:line="240" w:lineRule="auto"/>
      </w:pPr>
      <w:r w:rsidRPr="005537E4">
        <w:t>97% compliance</w:t>
      </w:r>
    </w:p>
    <w:p w:rsidR="00256799" w:rsidRPr="005537E4" w:rsidRDefault="00256799" w:rsidP="00256799">
      <w:pPr>
        <w:numPr>
          <w:ilvl w:val="2"/>
          <w:numId w:val="4"/>
        </w:numPr>
        <w:spacing w:after="0" w:line="240" w:lineRule="auto"/>
      </w:pPr>
      <w:r w:rsidRPr="005537E4">
        <w:t>Catalyst removal only</w:t>
      </w:r>
    </w:p>
    <w:p w:rsidR="00256799" w:rsidRPr="005537E4" w:rsidRDefault="00256799" w:rsidP="00256799">
      <w:pPr>
        <w:numPr>
          <w:ilvl w:val="1"/>
          <w:numId w:val="4"/>
        </w:numPr>
        <w:spacing w:after="0" w:line="240" w:lineRule="auto"/>
      </w:pPr>
      <w:r w:rsidRPr="005537E4">
        <w:t>I/M Program</w:t>
      </w:r>
    </w:p>
    <w:p w:rsidR="00256799" w:rsidRPr="005537E4" w:rsidRDefault="00256799" w:rsidP="00256799">
      <w:pPr>
        <w:numPr>
          <w:ilvl w:val="2"/>
          <w:numId w:val="4"/>
        </w:numPr>
        <w:spacing w:after="0" w:line="240" w:lineRule="auto"/>
      </w:pPr>
      <w:r w:rsidRPr="005537E4">
        <w:t>Exhaust and Evaporative (OBD and gas cap pressure test) for 1996 and newer vehicles</w:t>
      </w:r>
    </w:p>
    <w:p w:rsidR="00256799" w:rsidRPr="005537E4" w:rsidRDefault="00256799" w:rsidP="00256799">
      <w:pPr>
        <w:numPr>
          <w:ilvl w:val="3"/>
          <w:numId w:val="4"/>
        </w:numPr>
        <w:spacing w:after="0" w:line="240" w:lineRule="auto"/>
      </w:pPr>
      <w:r w:rsidRPr="005537E4">
        <w:t>Began in 1982</w:t>
      </w:r>
    </w:p>
    <w:p w:rsidR="00256799" w:rsidRPr="005537E4" w:rsidRDefault="00256799" w:rsidP="00256799">
      <w:pPr>
        <w:numPr>
          <w:ilvl w:val="3"/>
          <w:numId w:val="4"/>
        </w:numPr>
        <w:spacing w:after="0" w:line="240" w:lineRule="auto"/>
      </w:pPr>
      <w:r w:rsidRPr="005537E4">
        <w:t>Annual inspection required</w:t>
      </w:r>
    </w:p>
    <w:p w:rsidR="00256799" w:rsidRPr="005537E4" w:rsidRDefault="00256799" w:rsidP="00256799">
      <w:pPr>
        <w:numPr>
          <w:ilvl w:val="3"/>
          <w:numId w:val="4"/>
        </w:numPr>
        <w:spacing w:after="0" w:line="240" w:lineRule="auto"/>
      </w:pPr>
      <w:r w:rsidRPr="005537E4">
        <w:t>Computerized test and repair OBD – Exhaust</w:t>
      </w:r>
    </w:p>
    <w:p w:rsidR="00256799" w:rsidRPr="005537E4" w:rsidRDefault="00256799" w:rsidP="00256799">
      <w:pPr>
        <w:numPr>
          <w:ilvl w:val="3"/>
          <w:numId w:val="4"/>
        </w:numPr>
        <w:spacing w:after="0" w:line="240" w:lineRule="auto"/>
      </w:pPr>
      <w:r w:rsidRPr="005537E4">
        <w:t>Computerized test and repair OBD &amp; GC - Evaporative</w:t>
      </w:r>
    </w:p>
    <w:p w:rsidR="00256799" w:rsidRPr="005537E4" w:rsidRDefault="00256799" w:rsidP="00256799">
      <w:pPr>
        <w:numPr>
          <w:ilvl w:val="3"/>
          <w:numId w:val="4"/>
        </w:numPr>
        <w:spacing w:after="0" w:line="240" w:lineRule="auto"/>
      </w:pPr>
      <w:r w:rsidRPr="005537E4">
        <w:t>Applies to all LDG vehicle types</w:t>
      </w:r>
    </w:p>
    <w:p w:rsidR="00256799" w:rsidRPr="005537E4" w:rsidRDefault="00256799" w:rsidP="00256799">
      <w:pPr>
        <w:numPr>
          <w:ilvl w:val="3"/>
          <w:numId w:val="4"/>
        </w:numPr>
        <w:spacing w:after="0" w:line="240" w:lineRule="auto"/>
      </w:pPr>
      <w:r w:rsidRPr="005537E4">
        <w:t>Three year grace period</w:t>
      </w:r>
    </w:p>
    <w:p w:rsidR="00256799" w:rsidRPr="005537E4" w:rsidRDefault="00256799" w:rsidP="00256799">
      <w:pPr>
        <w:numPr>
          <w:ilvl w:val="3"/>
          <w:numId w:val="4"/>
        </w:numPr>
        <w:spacing w:after="0" w:line="240" w:lineRule="auto"/>
      </w:pPr>
      <w:r w:rsidRPr="005537E4">
        <w:t>3% waiver rate for all vehicles – Exhaust test</w:t>
      </w:r>
    </w:p>
    <w:p w:rsidR="00256799" w:rsidRPr="005537E4" w:rsidRDefault="00256799" w:rsidP="00256799">
      <w:pPr>
        <w:numPr>
          <w:ilvl w:val="3"/>
          <w:numId w:val="4"/>
        </w:numPr>
        <w:spacing w:after="0" w:line="240" w:lineRule="auto"/>
      </w:pPr>
      <w:r w:rsidRPr="005537E4">
        <w:t>0% waiver rate for all vehicles – Evaporative test</w:t>
      </w:r>
    </w:p>
    <w:p w:rsidR="00256799" w:rsidRPr="005537E4" w:rsidRDefault="00256799" w:rsidP="00256799">
      <w:pPr>
        <w:numPr>
          <w:ilvl w:val="3"/>
          <w:numId w:val="4"/>
        </w:numPr>
        <w:spacing w:after="0" w:line="240" w:lineRule="auto"/>
      </w:pPr>
      <w:r w:rsidRPr="005537E4">
        <w:t>97% compliance</w:t>
      </w:r>
    </w:p>
    <w:p w:rsidR="00256799" w:rsidRPr="005537E4" w:rsidRDefault="00256799" w:rsidP="00256799">
      <w:pPr>
        <w:numPr>
          <w:ilvl w:val="2"/>
          <w:numId w:val="4"/>
        </w:numPr>
        <w:spacing w:after="0" w:line="240" w:lineRule="auto"/>
      </w:pPr>
      <w:r w:rsidRPr="005537E4">
        <w:t>Exhaust and Evaporative test for 1975 – 1995 vehicles</w:t>
      </w:r>
    </w:p>
    <w:p w:rsidR="00256799" w:rsidRPr="005537E4" w:rsidRDefault="00256799" w:rsidP="00256799">
      <w:pPr>
        <w:numPr>
          <w:ilvl w:val="3"/>
          <w:numId w:val="4"/>
        </w:numPr>
        <w:spacing w:after="0" w:line="240" w:lineRule="auto"/>
      </w:pPr>
      <w:r w:rsidRPr="005537E4">
        <w:t>Began in 1982</w:t>
      </w:r>
    </w:p>
    <w:p w:rsidR="00256799" w:rsidRPr="005537E4" w:rsidRDefault="00256799" w:rsidP="00256799">
      <w:pPr>
        <w:numPr>
          <w:ilvl w:val="3"/>
          <w:numId w:val="4"/>
        </w:numPr>
        <w:spacing w:after="0" w:line="240" w:lineRule="auto"/>
      </w:pPr>
      <w:r w:rsidRPr="005537E4">
        <w:t>Annual inspection required</w:t>
      </w:r>
    </w:p>
    <w:p w:rsidR="00256799" w:rsidRPr="005537E4" w:rsidRDefault="00256799" w:rsidP="00256799">
      <w:pPr>
        <w:numPr>
          <w:ilvl w:val="3"/>
          <w:numId w:val="4"/>
        </w:numPr>
        <w:spacing w:after="0" w:line="240" w:lineRule="auto"/>
      </w:pPr>
      <w:r w:rsidRPr="005537E4">
        <w:t>Computerized test and repair ASM 2525/5015 Phase-in – Exhaust</w:t>
      </w:r>
    </w:p>
    <w:p w:rsidR="00256799" w:rsidRPr="005537E4" w:rsidRDefault="00256799" w:rsidP="00256799">
      <w:pPr>
        <w:numPr>
          <w:ilvl w:val="3"/>
          <w:numId w:val="4"/>
        </w:numPr>
        <w:spacing w:after="0" w:line="240" w:lineRule="auto"/>
      </w:pPr>
      <w:r w:rsidRPr="005537E4">
        <w:t>Computerized test and repair GC – Evaporative</w:t>
      </w:r>
    </w:p>
    <w:p w:rsidR="00256799" w:rsidRPr="005537E4" w:rsidRDefault="00256799" w:rsidP="00256799">
      <w:pPr>
        <w:numPr>
          <w:ilvl w:val="3"/>
          <w:numId w:val="4"/>
        </w:numPr>
        <w:spacing w:after="0" w:line="240" w:lineRule="auto"/>
      </w:pPr>
      <w:r w:rsidRPr="005537E4">
        <w:t>Applies to all LDG vehicle types</w:t>
      </w:r>
    </w:p>
    <w:p w:rsidR="00256799" w:rsidRPr="005537E4" w:rsidRDefault="00256799" w:rsidP="00256799">
      <w:pPr>
        <w:numPr>
          <w:ilvl w:val="3"/>
          <w:numId w:val="4"/>
        </w:numPr>
        <w:spacing w:after="0" w:line="240" w:lineRule="auto"/>
      </w:pPr>
      <w:r w:rsidRPr="005537E4">
        <w:t>3% waiver rate for all vehicles – Exhaust</w:t>
      </w:r>
    </w:p>
    <w:p w:rsidR="00256799" w:rsidRPr="005537E4" w:rsidRDefault="00256799" w:rsidP="00256799">
      <w:pPr>
        <w:numPr>
          <w:ilvl w:val="3"/>
          <w:numId w:val="4"/>
        </w:numPr>
        <w:spacing w:after="0" w:line="240" w:lineRule="auto"/>
      </w:pPr>
      <w:r w:rsidRPr="005537E4">
        <w:t>0% waiver rate for all vehicles – Evaporative</w:t>
      </w:r>
    </w:p>
    <w:p w:rsidR="00256799" w:rsidRPr="005537E4" w:rsidRDefault="00256799" w:rsidP="00256799">
      <w:pPr>
        <w:numPr>
          <w:ilvl w:val="3"/>
          <w:numId w:val="4"/>
        </w:numPr>
        <w:spacing w:after="0" w:line="240" w:lineRule="auto"/>
      </w:pPr>
      <w:r w:rsidRPr="005537E4">
        <w:t>97% compliance</w:t>
      </w:r>
    </w:p>
    <w:p w:rsidR="00256799" w:rsidRPr="005537E4" w:rsidRDefault="00256799" w:rsidP="00256799">
      <w:pPr>
        <w:numPr>
          <w:ilvl w:val="3"/>
          <w:numId w:val="4"/>
        </w:numPr>
        <w:spacing w:after="0" w:line="240" w:lineRule="auto"/>
      </w:pPr>
      <w:r w:rsidRPr="005537E4">
        <w:t>25 year and older model years are exempt</w:t>
      </w:r>
    </w:p>
    <w:p w:rsidR="00256799" w:rsidRPr="005537E4" w:rsidRDefault="00256799" w:rsidP="00256799">
      <w:pPr>
        <w:numPr>
          <w:ilvl w:val="1"/>
          <w:numId w:val="4"/>
        </w:numPr>
        <w:spacing w:after="0" w:line="240" w:lineRule="auto"/>
        <w:rPr>
          <w:rFonts w:ascii="Times New Roman" w:hAnsi="Times New Roman"/>
        </w:rPr>
      </w:pPr>
      <w:r w:rsidRPr="005537E4">
        <w:t>Fuel - Phase 2 Low Sulfur, Low RVP Georgia Gasoline</w:t>
      </w:r>
      <w:r w:rsidRPr="005537E4">
        <w:rPr>
          <w:rStyle w:val="FootnoteReference"/>
        </w:rPr>
        <w:footnoteReference w:id="4"/>
      </w:r>
      <w:r w:rsidRPr="005537E4">
        <w:t xml:space="preserve"> </w:t>
      </w:r>
    </w:p>
    <w:p w:rsidR="00256799" w:rsidRPr="005537E4" w:rsidRDefault="00256799" w:rsidP="00256799">
      <w:pPr>
        <w:numPr>
          <w:ilvl w:val="2"/>
          <w:numId w:val="4"/>
        </w:numPr>
        <w:spacing w:after="0" w:line="240" w:lineRule="auto"/>
        <w:rPr>
          <w:rFonts w:ascii="Times New Roman" w:hAnsi="Times New Roman"/>
        </w:rPr>
      </w:pPr>
      <w:r w:rsidRPr="005537E4">
        <w:lastRenderedPageBreak/>
        <w:t>100% market share of 10% ethanol-blend gasoline (E10) assumed</w:t>
      </w:r>
    </w:p>
    <w:p w:rsidR="00256799" w:rsidRPr="005537E4" w:rsidRDefault="00256799" w:rsidP="00256799">
      <w:pPr>
        <w:numPr>
          <w:ilvl w:val="2"/>
          <w:numId w:val="4"/>
        </w:numPr>
        <w:spacing w:after="0" w:line="240" w:lineRule="auto"/>
        <w:rPr>
          <w:rFonts w:ascii="Times New Roman" w:hAnsi="Times New Roman"/>
        </w:rPr>
      </w:pPr>
      <w:r w:rsidRPr="005537E4">
        <w:t>volatility waiver for E10 allows 1.0 psi RVP increase</w:t>
      </w:r>
    </w:p>
    <w:p w:rsidR="00256799" w:rsidRPr="005537E4" w:rsidRDefault="00256799" w:rsidP="00256799">
      <w:pPr>
        <w:numPr>
          <w:ilvl w:val="1"/>
          <w:numId w:val="4"/>
        </w:numPr>
        <w:spacing w:after="0" w:line="240" w:lineRule="auto"/>
      </w:pPr>
      <w:r w:rsidRPr="005537E4">
        <w:t>2002 regional fleet age distribution</w:t>
      </w:r>
    </w:p>
    <w:p w:rsidR="00256799" w:rsidRPr="005537E4" w:rsidRDefault="00256799" w:rsidP="00256799">
      <w:pPr>
        <w:numPr>
          <w:ilvl w:val="2"/>
          <w:numId w:val="4"/>
        </w:numPr>
        <w:spacing w:after="0" w:line="240" w:lineRule="auto"/>
      </w:pPr>
      <w:r w:rsidRPr="005537E4">
        <w:t>Derived from R.L. Polk &amp; Co. registration data for 13-county area</w:t>
      </w:r>
    </w:p>
    <w:p w:rsidR="00256799" w:rsidRPr="005537E4" w:rsidRDefault="00256799" w:rsidP="00256799">
      <w:pPr>
        <w:numPr>
          <w:ilvl w:val="2"/>
          <w:numId w:val="4"/>
        </w:numPr>
        <w:spacing w:after="0" w:line="240" w:lineRule="auto"/>
      </w:pPr>
      <w:r w:rsidRPr="005537E4">
        <w:t>Applied to 15 of the 16 MOBILE6.2.03 composite vehicle classifications – LDV, LDT1, LDT2, LDT3, LDT4, HDV2B, HDV3, HDV4, HDV5, HDV6, HDV7, HDV8, HDBS, HDBT, MC</w:t>
      </w:r>
    </w:p>
    <w:p w:rsidR="00256799" w:rsidRPr="005537E4" w:rsidRDefault="00256799" w:rsidP="00256799">
      <w:pPr>
        <w:pStyle w:val="NoSpacing"/>
        <w:numPr>
          <w:ilvl w:val="0"/>
          <w:numId w:val="16"/>
        </w:numPr>
      </w:pPr>
      <w:r w:rsidRPr="005537E4">
        <w:t>Default for HDV8B</w:t>
      </w:r>
    </w:p>
    <w:p w:rsidR="00256799" w:rsidRPr="005537E4" w:rsidRDefault="00256799" w:rsidP="00256799">
      <w:pPr>
        <w:pStyle w:val="NoSpacing"/>
        <w:numPr>
          <w:ilvl w:val="0"/>
          <w:numId w:val="16"/>
        </w:numPr>
      </w:pPr>
      <w:r w:rsidRPr="005537E4">
        <w:t>Default VMT fractions</w:t>
      </w:r>
    </w:p>
    <w:p w:rsidR="00256799" w:rsidRPr="005537E4" w:rsidRDefault="00256799" w:rsidP="00256799">
      <w:pPr>
        <w:pStyle w:val="NoSpacing"/>
      </w:pPr>
    </w:p>
    <w:p w:rsidR="00256799" w:rsidRPr="005537E4" w:rsidRDefault="00256799" w:rsidP="00256799">
      <w:pPr>
        <w:pStyle w:val="NoSpacing"/>
      </w:pPr>
      <w:r w:rsidRPr="005537E4">
        <w:t>3)   Eight Hour Ozone Standard MOBILE6.2.03 Inputs (7-county portion)</w:t>
      </w:r>
    </w:p>
    <w:p w:rsidR="00256799" w:rsidRPr="005537E4" w:rsidRDefault="00256799" w:rsidP="00256799">
      <w:pPr>
        <w:numPr>
          <w:ilvl w:val="1"/>
          <w:numId w:val="5"/>
        </w:numPr>
        <w:spacing w:after="0" w:line="240" w:lineRule="auto"/>
        <w:rPr>
          <w:rFonts w:ascii="Times New Roman" w:hAnsi="Times New Roman"/>
        </w:rPr>
      </w:pPr>
      <w:r w:rsidRPr="005537E4">
        <w:t>Average hourly temperature and relative humidity and average daily barometric pressure for the 10 highest ozone days, 2000 – 2002</w:t>
      </w:r>
    </w:p>
    <w:p w:rsidR="00256799" w:rsidRPr="005537E4" w:rsidRDefault="00256799" w:rsidP="00256799">
      <w:pPr>
        <w:numPr>
          <w:ilvl w:val="1"/>
          <w:numId w:val="5"/>
        </w:numPr>
        <w:spacing w:after="0" w:line="240" w:lineRule="auto"/>
        <w:rPr>
          <w:rFonts w:ascii="Times New Roman" w:hAnsi="Times New Roman"/>
        </w:rPr>
      </w:pPr>
      <w:r w:rsidRPr="005537E4">
        <w:t>No Stage II refueling</w:t>
      </w:r>
    </w:p>
    <w:p w:rsidR="00256799" w:rsidRPr="005537E4" w:rsidRDefault="00256799" w:rsidP="00256799">
      <w:pPr>
        <w:numPr>
          <w:ilvl w:val="1"/>
          <w:numId w:val="5"/>
        </w:numPr>
        <w:spacing w:after="0" w:line="240" w:lineRule="auto"/>
      </w:pPr>
      <w:r w:rsidRPr="005537E4">
        <w:t>No anti-tampering program</w:t>
      </w:r>
    </w:p>
    <w:p w:rsidR="00256799" w:rsidRPr="005537E4" w:rsidRDefault="00256799" w:rsidP="00256799">
      <w:pPr>
        <w:numPr>
          <w:ilvl w:val="1"/>
          <w:numId w:val="5"/>
        </w:numPr>
        <w:spacing w:after="0" w:line="240" w:lineRule="auto"/>
      </w:pPr>
      <w:r w:rsidRPr="005537E4">
        <w:t>No I/M program</w:t>
      </w:r>
    </w:p>
    <w:p w:rsidR="00256799" w:rsidRPr="005537E4" w:rsidRDefault="00256799" w:rsidP="00256799">
      <w:pPr>
        <w:numPr>
          <w:ilvl w:val="1"/>
          <w:numId w:val="5"/>
        </w:numPr>
        <w:spacing w:after="0" w:line="240" w:lineRule="auto"/>
        <w:rPr>
          <w:rFonts w:ascii="Times New Roman" w:hAnsi="Times New Roman"/>
        </w:rPr>
      </w:pPr>
      <w:r w:rsidRPr="005537E4">
        <w:t>Fuel - Phase 2 Low Sulfur, Low RVP Georgia Gasoline</w:t>
      </w:r>
    </w:p>
    <w:p w:rsidR="00256799" w:rsidRPr="005537E4" w:rsidRDefault="00256799" w:rsidP="00256799">
      <w:pPr>
        <w:numPr>
          <w:ilvl w:val="2"/>
          <w:numId w:val="5"/>
        </w:numPr>
        <w:spacing w:after="0" w:line="240" w:lineRule="auto"/>
        <w:rPr>
          <w:rFonts w:ascii="Times New Roman" w:hAnsi="Times New Roman"/>
        </w:rPr>
      </w:pPr>
      <w:r w:rsidRPr="005537E4">
        <w:t>100% market share of 10% ethanol-blend gasoline (E10) assumed</w:t>
      </w:r>
    </w:p>
    <w:p w:rsidR="00256799" w:rsidRPr="005537E4" w:rsidRDefault="00256799" w:rsidP="00256799">
      <w:pPr>
        <w:numPr>
          <w:ilvl w:val="2"/>
          <w:numId w:val="5"/>
        </w:numPr>
        <w:spacing w:after="0" w:line="240" w:lineRule="auto"/>
      </w:pPr>
      <w:r w:rsidRPr="005537E4">
        <w:t>volatility waiver for E10 allows 1.0 psi RVP increase</w:t>
      </w:r>
    </w:p>
    <w:p w:rsidR="00256799" w:rsidRPr="005537E4" w:rsidRDefault="00256799" w:rsidP="00256799">
      <w:pPr>
        <w:numPr>
          <w:ilvl w:val="1"/>
          <w:numId w:val="5"/>
        </w:numPr>
        <w:spacing w:after="0" w:line="240" w:lineRule="auto"/>
      </w:pPr>
      <w:r w:rsidRPr="005537E4">
        <w:t>2002 regional fleet age distribution</w:t>
      </w:r>
    </w:p>
    <w:p w:rsidR="00256799" w:rsidRPr="005537E4" w:rsidRDefault="00256799" w:rsidP="00256799">
      <w:pPr>
        <w:numPr>
          <w:ilvl w:val="2"/>
          <w:numId w:val="5"/>
        </w:numPr>
        <w:spacing w:after="0" w:line="240" w:lineRule="auto"/>
      </w:pPr>
      <w:r w:rsidRPr="005537E4">
        <w:t>Derived from R.L. Polk &amp; Co. registration data for 7 county area</w:t>
      </w:r>
    </w:p>
    <w:p w:rsidR="00256799" w:rsidRPr="005537E4" w:rsidRDefault="00256799" w:rsidP="00256799">
      <w:pPr>
        <w:numPr>
          <w:ilvl w:val="2"/>
          <w:numId w:val="5"/>
        </w:numPr>
        <w:spacing w:after="0" w:line="240" w:lineRule="auto"/>
      </w:pPr>
      <w:r w:rsidRPr="005537E4">
        <w:t>Applied to 15 of the 16 MOBILE6.2.03 composite vehicle classifications – LDV, LDT1, LDT2, LDT3, LDT4, HDV2B, HDV3, HDV4, HDV5, HDV6, HDV7, HDV8, HDBS, HDBT, MC</w:t>
      </w:r>
    </w:p>
    <w:p w:rsidR="00256799" w:rsidRPr="005537E4" w:rsidRDefault="00256799" w:rsidP="00256799">
      <w:pPr>
        <w:numPr>
          <w:ilvl w:val="3"/>
          <w:numId w:val="5"/>
        </w:numPr>
        <w:spacing w:after="0" w:line="240" w:lineRule="auto"/>
      </w:pPr>
      <w:r w:rsidRPr="005537E4">
        <w:t>Default for HDV8B</w:t>
      </w:r>
    </w:p>
    <w:p w:rsidR="00256799" w:rsidRPr="005537E4" w:rsidRDefault="00256799" w:rsidP="00256799">
      <w:pPr>
        <w:numPr>
          <w:ilvl w:val="3"/>
          <w:numId w:val="5"/>
        </w:numPr>
        <w:spacing w:after="0" w:line="240" w:lineRule="auto"/>
      </w:pPr>
      <w:r w:rsidRPr="005537E4">
        <w:t xml:space="preserve"> Default VMT fractions</w:t>
      </w:r>
    </w:p>
    <w:p w:rsidR="00256799" w:rsidRPr="005537E4" w:rsidRDefault="00256799" w:rsidP="00256799">
      <w:pPr>
        <w:spacing w:after="0" w:line="240" w:lineRule="auto"/>
        <w:ind w:left="1440"/>
      </w:pPr>
      <w:r w:rsidRPr="005537E4">
        <w:t xml:space="preserve">  </w:t>
      </w:r>
    </w:p>
    <w:p w:rsidR="00256799" w:rsidRPr="005537E4" w:rsidRDefault="00256799" w:rsidP="00256799">
      <w:pPr>
        <w:numPr>
          <w:ilvl w:val="0"/>
          <w:numId w:val="6"/>
        </w:numPr>
        <w:spacing w:after="0" w:line="240" w:lineRule="auto"/>
      </w:pPr>
      <w:r w:rsidRPr="005537E4">
        <w:t xml:space="preserve">VMT adjustment factors </w:t>
      </w:r>
    </w:p>
    <w:p w:rsidR="00256799" w:rsidRPr="005537E4" w:rsidRDefault="00256799" w:rsidP="00256799">
      <w:pPr>
        <w:numPr>
          <w:ilvl w:val="1"/>
          <w:numId w:val="6"/>
        </w:numPr>
        <w:spacing w:after="0" w:line="240" w:lineRule="auto"/>
      </w:pPr>
      <w:r w:rsidRPr="005537E4">
        <w:t xml:space="preserve">Calculated for year 2000 </w:t>
      </w:r>
    </w:p>
    <w:p w:rsidR="00256799" w:rsidRPr="005537E4" w:rsidRDefault="00256799" w:rsidP="00256799">
      <w:pPr>
        <w:numPr>
          <w:ilvl w:val="1"/>
          <w:numId w:val="6"/>
        </w:numPr>
        <w:spacing w:after="0" w:line="240" w:lineRule="auto"/>
      </w:pPr>
      <w:r w:rsidRPr="005537E4">
        <w:t>HPMS adjustment in base year of calibration in accordance with  Section 93.122(b)(3) of the Transportation Conformity Rule which recommends that HPMS adjustment factors be developed to reconcile travel model estimates of VMT in base year of validation to HPMS estimates for the same period</w:t>
      </w:r>
    </w:p>
    <w:p w:rsidR="00256799" w:rsidRPr="005537E4" w:rsidRDefault="00256799" w:rsidP="00256799">
      <w:pPr>
        <w:numPr>
          <w:ilvl w:val="1"/>
          <w:numId w:val="6"/>
        </w:numPr>
        <w:spacing w:after="0" w:line="240" w:lineRule="auto"/>
        <w:rPr>
          <w:rFonts w:ascii="Times New Roman" w:hAnsi="Times New Roman"/>
          <w:b/>
        </w:rPr>
      </w:pPr>
      <w:r w:rsidRPr="005537E4">
        <w:t>Summer (seasonal) adjustment to convert from average annual VMT to summer-season VMT</w:t>
      </w:r>
      <w:r w:rsidRPr="005537E4">
        <w:rPr>
          <w:rStyle w:val="FootnoteReference"/>
        </w:rPr>
        <w:footnoteReference w:id="5"/>
      </w:r>
    </w:p>
    <w:p w:rsidR="00256799" w:rsidRPr="005537E4" w:rsidRDefault="00256799" w:rsidP="00256799">
      <w:pPr>
        <w:numPr>
          <w:ilvl w:val="1"/>
          <w:numId w:val="6"/>
        </w:numPr>
        <w:spacing w:after="0" w:line="240" w:lineRule="auto"/>
        <w:rPr>
          <w:rFonts w:ascii="Times New Roman" w:hAnsi="Times New Roman"/>
          <w:b/>
        </w:rPr>
      </w:pPr>
      <w:r w:rsidRPr="005537E4">
        <w:t>Factors applied to VMT estimates generated by ARC travel demand model for 13-county portion and 7-county portion of 20-county modeling domain, separately.</w:t>
      </w:r>
    </w:p>
    <w:p w:rsidR="00256799" w:rsidRPr="005537E4" w:rsidRDefault="00256799" w:rsidP="00256799">
      <w:pPr>
        <w:rPr>
          <w:rFonts w:asciiTheme="minorHAnsi" w:hAnsiTheme="minorHAnsi"/>
        </w:rPr>
      </w:pPr>
    </w:p>
    <w:p w:rsidR="00256799" w:rsidRPr="005537E4" w:rsidRDefault="00256799" w:rsidP="00256799">
      <w:pPr>
        <w:jc w:val="center"/>
        <w:rPr>
          <w:rFonts w:asciiTheme="minorHAnsi" w:hAnsiTheme="minorHAnsi"/>
          <w:b/>
        </w:rPr>
      </w:pPr>
      <w:r w:rsidRPr="005537E4">
        <w:rPr>
          <w:rFonts w:asciiTheme="minorHAnsi" w:hAnsiTheme="minorHAnsi"/>
          <w:b/>
        </w:rPr>
        <w:t>VMT Adjustment Factors</w:t>
      </w:r>
    </w:p>
    <w:tbl>
      <w:tblPr>
        <w:tblW w:w="6150" w:type="dxa"/>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75"/>
        <w:gridCol w:w="1625"/>
        <w:gridCol w:w="1450"/>
      </w:tblGrid>
      <w:tr w:rsidR="00256799" w:rsidRPr="005537E4" w:rsidTr="00B52189">
        <w:trPr>
          <w:trHeight w:val="270"/>
          <w:jc w:val="center"/>
        </w:trPr>
        <w:tc>
          <w:tcPr>
            <w:tcW w:w="307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256799" w:rsidRPr="005537E4" w:rsidRDefault="00256799" w:rsidP="00B52189">
            <w:pPr>
              <w:pStyle w:val="NoSpacing"/>
              <w:jc w:val="center"/>
              <w:rPr>
                <w:rFonts w:asciiTheme="minorHAnsi" w:hAnsiTheme="minorHAnsi"/>
                <w:b/>
              </w:rPr>
            </w:pPr>
            <w:r w:rsidRPr="005537E4">
              <w:rPr>
                <w:rFonts w:asciiTheme="minorHAnsi" w:hAnsiTheme="minorHAnsi"/>
                <w:b/>
              </w:rPr>
              <w:t>Functional Class Name</w:t>
            </w:r>
          </w:p>
        </w:tc>
        <w:tc>
          <w:tcPr>
            <w:tcW w:w="162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256799" w:rsidRPr="005537E4" w:rsidRDefault="00256799" w:rsidP="00B52189">
            <w:pPr>
              <w:pStyle w:val="NoSpacing"/>
              <w:jc w:val="center"/>
              <w:rPr>
                <w:rFonts w:asciiTheme="minorHAnsi" w:hAnsiTheme="minorHAnsi"/>
                <w:b/>
              </w:rPr>
            </w:pPr>
            <w:r w:rsidRPr="005537E4">
              <w:rPr>
                <w:rFonts w:asciiTheme="minorHAnsi" w:hAnsiTheme="minorHAnsi"/>
                <w:b/>
              </w:rPr>
              <w:t>Factor for 13 County Area</w:t>
            </w:r>
          </w:p>
        </w:tc>
        <w:tc>
          <w:tcPr>
            <w:tcW w:w="14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56799" w:rsidRPr="005537E4" w:rsidRDefault="00256799" w:rsidP="00B52189">
            <w:pPr>
              <w:pStyle w:val="NoSpacing"/>
              <w:jc w:val="center"/>
              <w:rPr>
                <w:rFonts w:asciiTheme="minorHAnsi" w:hAnsiTheme="minorHAnsi"/>
                <w:b/>
              </w:rPr>
            </w:pPr>
            <w:r w:rsidRPr="005537E4">
              <w:rPr>
                <w:rFonts w:asciiTheme="minorHAnsi" w:hAnsiTheme="minorHAnsi"/>
                <w:b/>
              </w:rPr>
              <w:t>Factor for 7 County Area</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Interstate</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0.67</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0.89</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Principal Arterial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1.02</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0.99</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Min. Arterial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1.16</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0.98</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Major Collector</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0.88</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1.81</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Minor Collector</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1.07</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1.81</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 Local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0.64</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1.10</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Interstate</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1.05</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0.86</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Other Freeway</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2.44</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0.85</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Principal Arterial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0.67</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0.97</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Minor Arterial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1.21</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0.96</w:t>
            </w:r>
          </w:p>
        </w:tc>
      </w:tr>
      <w:tr w:rsidR="00256799" w:rsidRPr="005537E4" w:rsidTr="00B52189">
        <w:trPr>
          <w:trHeight w:val="255"/>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Urbanized Collector</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1.21</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1.80</w:t>
            </w:r>
          </w:p>
        </w:tc>
      </w:tr>
      <w:tr w:rsidR="00256799" w:rsidRPr="005537E4" w:rsidTr="00B52189">
        <w:trPr>
          <w:trHeight w:val="270"/>
          <w:jc w:val="center"/>
        </w:trPr>
        <w:tc>
          <w:tcPr>
            <w:tcW w:w="307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Urbanized Local</w:t>
            </w:r>
          </w:p>
        </w:tc>
        <w:tc>
          <w:tcPr>
            <w:tcW w:w="1625"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0.95</w:t>
            </w:r>
          </w:p>
        </w:tc>
        <w:tc>
          <w:tcPr>
            <w:tcW w:w="145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1.06</w:t>
            </w:r>
          </w:p>
        </w:tc>
      </w:tr>
    </w:tbl>
    <w:p w:rsidR="00256799" w:rsidRPr="005537E4" w:rsidRDefault="00256799" w:rsidP="00256799">
      <w:pPr>
        <w:jc w:val="center"/>
        <w:rPr>
          <w:rFonts w:asciiTheme="minorHAnsi" w:hAnsiTheme="minorHAnsi"/>
          <w:b/>
        </w:rPr>
      </w:pPr>
    </w:p>
    <w:p w:rsidR="00256799" w:rsidRPr="005537E4" w:rsidRDefault="00256799" w:rsidP="00256799">
      <w:pPr>
        <w:numPr>
          <w:ilvl w:val="0"/>
          <w:numId w:val="9"/>
        </w:numPr>
        <w:spacing w:after="0" w:line="240" w:lineRule="auto"/>
        <w:rPr>
          <w:rFonts w:asciiTheme="minorHAnsi" w:hAnsiTheme="minorHAnsi"/>
        </w:rPr>
      </w:pPr>
      <w:r w:rsidRPr="005537E4">
        <w:rPr>
          <w:rFonts w:asciiTheme="minorHAnsi" w:hAnsiTheme="minorHAnsi"/>
        </w:rPr>
        <w:t>Off-Model Calculations</w:t>
      </w:r>
    </w:p>
    <w:p w:rsidR="00256799" w:rsidRPr="005537E4" w:rsidRDefault="00256799" w:rsidP="00256799">
      <w:pPr>
        <w:pStyle w:val="BodyTextIndent"/>
        <w:numPr>
          <w:ilvl w:val="1"/>
          <w:numId w:val="10"/>
        </w:numPr>
        <w:spacing w:after="0"/>
        <w:rPr>
          <w:rFonts w:asciiTheme="minorHAnsi" w:hAnsiTheme="minorHAnsi"/>
          <w:sz w:val="22"/>
          <w:szCs w:val="22"/>
        </w:rPr>
      </w:pPr>
      <w:r w:rsidRPr="005537E4">
        <w:rPr>
          <w:rFonts w:asciiTheme="minorHAnsi" w:hAnsiTheme="minorHAnsi"/>
          <w:sz w:val="22"/>
          <w:szCs w:val="22"/>
        </w:rPr>
        <w:t>Senior I/M Exemption (emissions debit)</w:t>
      </w:r>
    </w:p>
    <w:p w:rsidR="00256799" w:rsidRPr="005537E4" w:rsidRDefault="00256799" w:rsidP="00256799">
      <w:pPr>
        <w:pStyle w:val="BodyTextIndent"/>
        <w:numPr>
          <w:ilvl w:val="2"/>
          <w:numId w:val="10"/>
        </w:numPr>
        <w:spacing w:after="0"/>
        <w:rPr>
          <w:rFonts w:asciiTheme="minorHAnsi" w:hAnsiTheme="minorHAnsi"/>
          <w:sz w:val="22"/>
          <w:szCs w:val="22"/>
        </w:rPr>
      </w:pPr>
      <w:r w:rsidRPr="005537E4">
        <w:rPr>
          <w:rFonts w:asciiTheme="minorHAnsi" w:hAnsiTheme="minorHAnsi"/>
          <w:sz w:val="22"/>
          <w:szCs w:val="22"/>
        </w:rPr>
        <w:t>The Senior I/M Exemption calculated for year 2002 is conservatively high and will be added to the regional emission inventories for each analysis year.</w:t>
      </w:r>
    </w:p>
    <w:p w:rsidR="00256799" w:rsidRPr="005537E4" w:rsidRDefault="00256799" w:rsidP="00256799">
      <w:pPr>
        <w:pStyle w:val="BodyTextIndent"/>
        <w:spacing w:after="0"/>
        <w:ind w:left="720"/>
      </w:pPr>
    </w:p>
    <w:p w:rsidR="00256799" w:rsidRPr="005537E4" w:rsidRDefault="00256799" w:rsidP="00256799">
      <w:pPr>
        <w:numPr>
          <w:ilvl w:val="0"/>
          <w:numId w:val="8"/>
        </w:numPr>
        <w:spacing w:after="0" w:line="240" w:lineRule="auto"/>
        <w:rPr>
          <w:rFonts w:ascii="Times New Roman" w:hAnsi="Times New Roman"/>
        </w:rPr>
      </w:pPr>
      <w:r w:rsidRPr="005537E4">
        <w:t>TCMs</w:t>
      </w:r>
    </w:p>
    <w:p w:rsidR="00256799" w:rsidRPr="005537E4" w:rsidRDefault="00256799" w:rsidP="00256799">
      <w:pPr>
        <w:numPr>
          <w:ilvl w:val="1"/>
          <w:numId w:val="8"/>
        </w:numPr>
        <w:spacing w:after="0" w:line="240" w:lineRule="auto"/>
        <w:rPr>
          <w:rFonts w:ascii="Times New Roman" w:hAnsi="Times New Roman"/>
        </w:rPr>
      </w:pPr>
      <w:r w:rsidRPr="005537E4">
        <w:t>No additional credit is taken in the emissions modeling process for SIP TCMs</w:t>
      </w:r>
    </w:p>
    <w:p w:rsidR="00256799" w:rsidRPr="005537E4" w:rsidRDefault="00256799" w:rsidP="00256799">
      <w:pPr>
        <w:numPr>
          <w:ilvl w:val="1"/>
          <w:numId w:val="8"/>
        </w:numPr>
        <w:spacing w:after="0" w:line="240" w:lineRule="auto"/>
        <w:rPr>
          <w:rFonts w:asciiTheme="minorHAnsi" w:hAnsiTheme="minorHAnsi"/>
        </w:rPr>
      </w:pPr>
      <w:r w:rsidRPr="005537E4">
        <w:t>Listed below is a TCM status report</w:t>
      </w:r>
    </w:p>
    <w:p w:rsidR="00B31B06" w:rsidRPr="005537E4" w:rsidRDefault="00B31B06" w:rsidP="00B31B06">
      <w:pPr>
        <w:spacing w:after="0" w:line="240" w:lineRule="auto"/>
        <w:ind w:left="720"/>
      </w:pPr>
    </w:p>
    <w:p w:rsidR="00CA06A5" w:rsidRPr="005537E4" w:rsidRDefault="00CA06A5" w:rsidP="00B31B06">
      <w:pPr>
        <w:spacing w:after="0" w:line="240" w:lineRule="auto"/>
        <w:ind w:left="720"/>
      </w:pPr>
    </w:p>
    <w:p w:rsidR="00CA06A5" w:rsidRPr="005537E4" w:rsidRDefault="00CA06A5" w:rsidP="00B31B06">
      <w:pPr>
        <w:spacing w:after="0" w:line="240" w:lineRule="auto"/>
        <w:ind w:left="720"/>
      </w:pPr>
    </w:p>
    <w:p w:rsidR="00CA06A5" w:rsidRPr="005537E4" w:rsidRDefault="00CA06A5" w:rsidP="00B31B06">
      <w:pPr>
        <w:spacing w:after="0" w:line="240" w:lineRule="auto"/>
        <w:ind w:left="720"/>
      </w:pPr>
    </w:p>
    <w:p w:rsidR="00CA06A5" w:rsidRPr="005537E4" w:rsidRDefault="00CA06A5" w:rsidP="00B31B06">
      <w:pPr>
        <w:spacing w:after="0" w:line="240" w:lineRule="auto"/>
        <w:ind w:left="720"/>
      </w:pPr>
    </w:p>
    <w:p w:rsidR="00CA06A5" w:rsidRPr="005537E4" w:rsidRDefault="00CA06A5" w:rsidP="00B31B06">
      <w:pPr>
        <w:spacing w:after="0" w:line="240" w:lineRule="auto"/>
        <w:ind w:left="720"/>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7"/>
        <w:gridCol w:w="1530"/>
        <w:gridCol w:w="1170"/>
        <w:gridCol w:w="839"/>
        <w:gridCol w:w="1638"/>
      </w:tblGrid>
      <w:tr w:rsidR="00CA06A5" w:rsidRPr="005537E4" w:rsidTr="004248E7">
        <w:trPr>
          <w:tblHeader/>
          <w:jc w:val="center"/>
        </w:trPr>
        <w:tc>
          <w:tcPr>
            <w:tcW w:w="4097" w:type="dxa"/>
            <w:tcBorders>
              <w:top w:val="single" w:sz="4" w:space="0" w:color="auto"/>
              <w:left w:val="single" w:sz="4" w:space="0" w:color="auto"/>
              <w:bottom w:val="single" w:sz="4" w:space="0" w:color="auto"/>
              <w:right w:val="single" w:sz="4" w:space="0" w:color="auto"/>
            </w:tcBorders>
            <w:shd w:val="clear" w:color="auto" w:fill="E0E0E0"/>
          </w:tcPr>
          <w:p w:rsidR="00CA06A5" w:rsidRPr="005537E4" w:rsidRDefault="00CA06A5" w:rsidP="004248E7">
            <w:pPr>
              <w:pStyle w:val="NoSpacing"/>
              <w:rPr>
                <w:rFonts w:asciiTheme="minorHAnsi" w:hAnsiTheme="minorHAnsi"/>
                <w:b/>
              </w:rPr>
            </w:pPr>
            <w:r w:rsidRPr="005537E4">
              <w:rPr>
                <w:rFonts w:asciiTheme="minorHAnsi" w:hAnsiTheme="minorHAnsi"/>
                <w:b/>
              </w:rPr>
              <w:t>Description</w:t>
            </w: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CA06A5" w:rsidRPr="005537E4" w:rsidRDefault="00CA06A5" w:rsidP="004248E7">
            <w:pPr>
              <w:pStyle w:val="NoSpacing"/>
              <w:rPr>
                <w:rFonts w:asciiTheme="minorHAnsi" w:hAnsiTheme="minorHAnsi"/>
                <w:b/>
              </w:rPr>
            </w:pPr>
            <w:r w:rsidRPr="005537E4">
              <w:rPr>
                <w:rFonts w:asciiTheme="minorHAnsi" w:hAnsiTheme="minorHAnsi"/>
                <w:b/>
              </w:rPr>
              <w:t>ARC Project #</w:t>
            </w:r>
          </w:p>
        </w:tc>
        <w:tc>
          <w:tcPr>
            <w:tcW w:w="1170" w:type="dxa"/>
            <w:tcBorders>
              <w:top w:val="single" w:sz="4" w:space="0" w:color="auto"/>
              <w:left w:val="single" w:sz="4" w:space="0" w:color="auto"/>
              <w:bottom w:val="single" w:sz="4" w:space="0" w:color="auto"/>
              <w:right w:val="single" w:sz="4" w:space="0" w:color="auto"/>
            </w:tcBorders>
            <w:shd w:val="clear" w:color="auto" w:fill="E0E0E0"/>
          </w:tcPr>
          <w:p w:rsidR="00CA06A5" w:rsidRPr="005537E4" w:rsidRDefault="00CA06A5" w:rsidP="004248E7">
            <w:pPr>
              <w:pStyle w:val="NoSpacing"/>
              <w:rPr>
                <w:rFonts w:asciiTheme="minorHAnsi" w:hAnsiTheme="minorHAnsi"/>
                <w:b/>
              </w:rPr>
            </w:pPr>
            <w:r w:rsidRPr="005537E4">
              <w:rPr>
                <w:rFonts w:asciiTheme="minorHAnsi" w:hAnsiTheme="minorHAnsi"/>
                <w:b/>
              </w:rPr>
              <w:t>GDOT PI #</w:t>
            </w:r>
          </w:p>
        </w:tc>
        <w:tc>
          <w:tcPr>
            <w:tcW w:w="839" w:type="dxa"/>
            <w:tcBorders>
              <w:top w:val="single" w:sz="4" w:space="0" w:color="auto"/>
              <w:left w:val="single" w:sz="4" w:space="0" w:color="auto"/>
              <w:bottom w:val="single" w:sz="4" w:space="0" w:color="auto"/>
              <w:right w:val="single" w:sz="4" w:space="0" w:color="auto"/>
            </w:tcBorders>
            <w:shd w:val="clear" w:color="auto" w:fill="E0E0E0"/>
          </w:tcPr>
          <w:p w:rsidR="00CA06A5" w:rsidRPr="005537E4" w:rsidRDefault="00CA06A5" w:rsidP="004248E7">
            <w:pPr>
              <w:pStyle w:val="NoSpacing"/>
              <w:rPr>
                <w:rFonts w:asciiTheme="minorHAnsi" w:hAnsiTheme="minorHAnsi"/>
                <w:b/>
              </w:rPr>
            </w:pPr>
            <w:r w:rsidRPr="005537E4">
              <w:rPr>
                <w:rFonts w:asciiTheme="minorHAnsi" w:hAnsiTheme="minorHAnsi"/>
                <w:b/>
              </w:rPr>
              <w:t>TIP</w:t>
            </w:r>
          </w:p>
        </w:tc>
        <w:tc>
          <w:tcPr>
            <w:tcW w:w="1638" w:type="dxa"/>
            <w:tcBorders>
              <w:top w:val="single" w:sz="4" w:space="0" w:color="auto"/>
              <w:left w:val="single" w:sz="4" w:space="0" w:color="auto"/>
              <w:bottom w:val="single" w:sz="4" w:space="0" w:color="auto"/>
              <w:right w:val="single" w:sz="4" w:space="0" w:color="auto"/>
            </w:tcBorders>
            <w:shd w:val="clear" w:color="auto" w:fill="E0E0E0"/>
          </w:tcPr>
          <w:p w:rsidR="00CA06A5" w:rsidRPr="005537E4" w:rsidRDefault="00CA06A5" w:rsidP="004248E7">
            <w:pPr>
              <w:pStyle w:val="NoSpacing"/>
              <w:rPr>
                <w:rFonts w:asciiTheme="minorHAnsi" w:hAnsiTheme="minorHAnsi"/>
                <w:b/>
              </w:rPr>
            </w:pPr>
            <w:r w:rsidRPr="005537E4">
              <w:rPr>
                <w:rFonts w:asciiTheme="minorHAnsi" w:hAnsiTheme="minorHAnsi"/>
                <w:b/>
              </w:rPr>
              <w:t>Status</w:t>
            </w:r>
          </w:p>
        </w:tc>
      </w:tr>
      <w:tr w:rsidR="00CA06A5" w:rsidRPr="005537E4" w:rsidTr="004248E7">
        <w:trPr>
          <w:cantSplit/>
          <w:trHeight w:val="422"/>
          <w:jc w:val="center"/>
        </w:trPr>
        <w:tc>
          <w:tcPr>
            <w:tcW w:w="4097" w:type="dxa"/>
            <w:vMerge w:val="restart"/>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HOV LANES</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CA06A5" w:rsidRPr="005537E4" w:rsidRDefault="00CA06A5" w:rsidP="004248E7">
            <w:pPr>
              <w:pStyle w:val="NoSpacing"/>
              <w:rPr>
                <w:rFonts w:asciiTheme="minorHAnsi" w:hAnsiTheme="minorHAnsi"/>
                <w:snapToGrid w:val="0"/>
                <w:sz w:val="20"/>
                <w:szCs w:val="20"/>
              </w:rPr>
            </w:pPr>
          </w:p>
          <w:p w:rsidR="00CA06A5" w:rsidRPr="005537E4" w:rsidRDefault="00CA06A5" w:rsidP="004248E7">
            <w:pPr>
              <w:pStyle w:val="NoSpacing"/>
              <w:rPr>
                <w:rFonts w:asciiTheme="minorHAnsi" w:hAnsiTheme="minorHAnsi"/>
                <w:bCs/>
                <w:snapToGrid w:val="0"/>
                <w:sz w:val="20"/>
                <w:szCs w:val="20"/>
              </w:rPr>
            </w:pPr>
            <w:r w:rsidRPr="005537E4">
              <w:rPr>
                <w:rFonts w:asciiTheme="minorHAnsi" w:hAnsiTheme="minorHAnsi"/>
                <w:snapToGrid w:val="0"/>
                <w:sz w:val="20"/>
                <w:szCs w:val="20"/>
              </w:rPr>
              <w:t>I-85N from Chamblee-Tucker Rd to SR 316 (HOT Lanes),</w:t>
            </w:r>
          </w:p>
          <w:p w:rsidR="00CA06A5" w:rsidRPr="005537E4" w:rsidRDefault="00CA06A5" w:rsidP="004248E7">
            <w:pPr>
              <w:pStyle w:val="NoSpacing"/>
              <w:rPr>
                <w:rFonts w:asciiTheme="minorHAnsi" w:hAnsiTheme="minorHAnsi"/>
                <w:bCs/>
                <w:snapToGrid w:val="0"/>
                <w:sz w:val="20"/>
                <w:szCs w:val="20"/>
              </w:rPr>
            </w:pPr>
            <w:r w:rsidRPr="005537E4">
              <w:rPr>
                <w:rFonts w:asciiTheme="minorHAnsi" w:hAnsiTheme="minorHAnsi"/>
                <w:snapToGrid w:val="0"/>
                <w:sz w:val="20"/>
                <w:szCs w:val="20"/>
              </w:rPr>
              <w:t>I-85 @ SR 316, Interchange Reconstruction</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073B</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713760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99-01</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Under construction*</w:t>
            </w:r>
          </w:p>
        </w:tc>
      </w:tr>
      <w:tr w:rsidR="00CA06A5" w:rsidRPr="005537E4" w:rsidTr="004248E7">
        <w:trPr>
          <w:cantSplit/>
          <w:trHeight w:val="1025"/>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GW-AR 053A</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GW-AR 053B</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110530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02-04</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03-05</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05-10</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Implemented </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ATLANTIC STATION, 17</w:t>
            </w:r>
            <w:r w:rsidRPr="005537E4">
              <w:rPr>
                <w:rFonts w:asciiTheme="minorHAnsi" w:hAnsiTheme="minorHAnsi"/>
                <w:sz w:val="20"/>
                <w:szCs w:val="20"/>
                <w:vertAlign w:val="superscript"/>
              </w:rPr>
              <w:t>th</w:t>
            </w:r>
            <w:r w:rsidRPr="005537E4">
              <w:rPr>
                <w:rFonts w:asciiTheme="minorHAnsi" w:hAnsiTheme="minorHAnsi"/>
                <w:sz w:val="20"/>
                <w:szCs w:val="20"/>
              </w:rPr>
              <w:t xml:space="preserve"> STREET BRIDGE</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Sponsor – City of Atlanta</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 – Bridge and Southbound off ramps</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C – Northside Dr over Norfolk Southern Railroad to Atlantic Station</w:t>
            </w:r>
          </w:p>
          <w:p w:rsidR="00CA06A5" w:rsidRPr="005537E4" w:rsidRDefault="00CA06A5" w:rsidP="004248E7">
            <w:pPr>
              <w:pStyle w:val="NoSpacing"/>
              <w:rPr>
                <w:rFonts w:asciiTheme="minorHAnsi" w:hAnsiTheme="minorHAnsi"/>
                <w:snapToGrid w:val="0"/>
                <w:color w:val="FF0000"/>
                <w:sz w:val="20"/>
                <w:szCs w:val="20"/>
              </w:rPr>
            </w:pPr>
            <w:r w:rsidRPr="005537E4">
              <w:rPr>
                <w:rFonts w:asciiTheme="minorHAnsi" w:hAnsiTheme="minorHAnsi"/>
                <w:sz w:val="20"/>
                <w:szCs w:val="20"/>
              </w:rPr>
              <w:t>D – Northbound off ramp to 17</w:t>
            </w:r>
            <w:r w:rsidRPr="005537E4">
              <w:rPr>
                <w:rFonts w:asciiTheme="minorHAnsi" w:hAnsiTheme="minorHAnsi"/>
                <w:sz w:val="20"/>
                <w:szCs w:val="20"/>
                <w:vertAlign w:val="superscript"/>
              </w:rPr>
              <w:t>th</w:t>
            </w:r>
            <w:r w:rsidRPr="005537E4">
              <w:rPr>
                <w:rFonts w:asciiTheme="minorHAnsi" w:hAnsiTheme="minorHAnsi"/>
                <w:sz w:val="20"/>
                <w:szCs w:val="20"/>
              </w:rPr>
              <w:t xml:space="preserve"> Street Bridge, Williams St Relocation</w:t>
            </w:r>
            <w:r w:rsidRPr="005537E4">
              <w:rPr>
                <w:rFonts w:asciiTheme="minorHAnsi" w:hAnsiTheme="minorHAnsi"/>
                <w:color w:val="FF0000"/>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AT-AR 224A</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AT-AR 224C</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AT-AR 224D</w:t>
            </w:r>
          </w:p>
          <w:p w:rsidR="00CA06A5" w:rsidRPr="005537E4" w:rsidRDefault="00CA06A5" w:rsidP="004248E7">
            <w:pPr>
              <w:pStyle w:val="NoSpacing"/>
              <w:rPr>
                <w:rFonts w:asciiTheme="minorHAnsi" w:hAnsiTheme="minorHAnsi"/>
                <w:sz w:val="20"/>
                <w:szCs w:val="20"/>
              </w:rPr>
            </w:pPr>
          </w:p>
          <w:p w:rsidR="00CA06A5" w:rsidRPr="005537E4" w:rsidRDefault="00CA06A5" w:rsidP="004248E7">
            <w:pPr>
              <w:pStyle w:val="NoSpacing"/>
              <w:rPr>
                <w:rFonts w:asciiTheme="minorHAnsi" w:hAnsiTheme="minorHAnsi"/>
                <w:sz w:val="20"/>
                <w:szCs w:val="20"/>
              </w:rPr>
            </w:pPr>
          </w:p>
          <w:p w:rsidR="00CA06A5" w:rsidRPr="005537E4" w:rsidRDefault="00CA06A5" w:rsidP="004248E7">
            <w:pPr>
              <w:pStyle w:val="NoSpacing"/>
              <w:rPr>
                <w:rFonts w:asciiTheme="minorHAnsi" w:hAnsiTheme="minorHAnsi"/>
                <w:snapToGrid w:val="0"/>
                <w:sz w:val="20"/>
                <w:szCs w:val="20"/>
              </w:rPr>
            </w:pP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714190</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0001297</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z w:val="20"/>
                <w:szCs w:val="20"/>
              </w:rPr>
              <w:t>0001298</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02-04</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03-05</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05-10</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A – Implemented</w:t>
            </w:r>
          </w:p>
          <w:p w:rsidR="00CA06A5" w:rsidRPr="005537E4" w:rsidRDefault="00CA06A5" w:rsidP="004248E7">
            <w:pPr>
              <w:pStyle w:val="NoSpacing"/>
              <w:rPr>
                <w:rFonts w:asciiTheme="minorHAnsi" w:hAnsiTheme="minorHAnsi"/>
                <w:color w:val="FF0000"/>
                <w:sz w:val="20"/>
                <w:szCs w:val="20"/>
              </w:rPr>
            </w:pPr>
            <w:r w:rsidRPr="005537E4">
              <w:rPr>
                <w:rFonts w:asciiTheme="minorHAnsi" w:hAnsiTheme="minorHAnsi"/>
                <w:sz w:val="20"/>
                <w:szCs w:val="20"/>
              </w:rPr>
              <w:t>C – Implemented</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z w:val="20"/>
                <w:szCs w:val="20"/>
              </w:rPr>
              <w:t>D – 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CLEAN FUEL BUSES</w:t>
            </w:r>
          </w:p>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Sponsors – MARTA and CCT</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M-AR 232</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N/A</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94-95</w:t>
            </w:r>
          </w:p>
          <w:p w:rsidR="00CA06A5" w:rsidRPr="005537E4" w:rsidRDefault="00CA06A5" w:rsidP="004248E7">
            <w:pPr>
              <w:pStyle w:val="NoSpacing"/>
              <w:rPr>
                <w:rFonts w:asciiTheme="minorHAnsi" w:hAnsiTheme="minorHAnsi"/>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EXPRESS BUS ROUTES</w:t>
            </w:r>
          </w:p>
          <w:p w:rsidR="00CA06A5" w:rsidRPr="005537E4" w:rsidRDefault="00CA06A5" w:rsidP="004248E7">
            <w:pPr>
              <w:pStyle w:val="NoSpacing"/>
              <w:rPr>
                <w:rFonts w:asciiTheme="minorHAnsi" w:hAnsiTheme="minorHAnsi"/>
                <w:bCs/>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M-R 160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M-R 162</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770632</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cs="Tahoma"/>
                <w:snapToGrid w:val="0"/>
                <w:sz w:val="20"/>
                <w:szCs w:val="20"/>
              </w:rPr>
              <w:t>770632</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IMPROVE / EXPAND BUS SERVICE </w:t>
            </w:r>
          </w:p>
          <w:p w:rsidR="00CA06A5" w:rsidRPr="005537E4" w:rsidRDefault="00CA06A5" w:rsidP="004248E7">
            <w:pPr>
              <w:pStyle w:val="NoSpacing"/>
              <w:rPr>
                <w:rFonts w:asciiTheme="minorHAnsi" w:hAnsiTheme="minorHAnsi"/>
                <w:i/>
                <w:iCs/>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M-R 161</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770633</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96-98</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Implemented</w:t>
            </w:r>
          </w:p>
        </w:tc>
      </w:tr>
      <w:tr w:rsidR="00CA06A5" w:rsidRPr="005537E4" w:rsidTr="004248E7">
        <w:trPr>
          <w:cantSplit/>
          <w:jc w:val="center"/>
        </w:trPr>
        <w:tc>
          <w:tcPr>
            <w:tcW w:w="4097" w:type="dxa"/>
            <w:vMerge w:val="restart"/>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INTERSECTION UPGRADE, COORDINATION &amp; COMPUTERIZATION</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Sponsor(s) – GDOT in partnership with local Jurisdictions</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AT 089</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04Y108</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93-95</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CL 094</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770600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CO 249</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770601</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DK 118</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770603</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FN 086</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770605</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FS 068</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770605</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GW 135</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170950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04418</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93-95</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770391</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ITS – ADVANCED TRAFFIC MANAGEMENT SYSTEM / INCIDENT MANAGEMENT PROGRAM</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I-75/I-85 within I-285, Northern portion of I-285 between  I-75 and I-85</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770391</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CLEAN FUELS REVOLVING LOAN PROGRAM</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GEFA</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195</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770790, 770795</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96-98</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HOV LANES</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CA06A5" w:rsidRPr="005537E4" w:rsidRDefault="00CA06A5" w:rsidP="004248E7">
            <w:pPr>
              <w:pStyle w:val="NoSpacing"/>
              <w:rPr>
                <w:rFonts w:asciiTheme="minorHAnsi" w:hAnsiTheme="minorHAnsi"/>
                <w:snapToGrid w:val="0"/>
                <w:sz w:val="20"/>
                <w:szCs w:val="20"/>
              </w:rPr>
            </w:pP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bCs/>
                <w:snapToGrid w:val="0"/>
                <w:sz w:val="20"/>
                <w:szCs w:val="20"/>
              </w:rPr>
              <w:t xml:space="preserve"> </w:t>
            </w:r>
            <w:r w:rsidRPr="005537E4">
              <w:rPr>
                <w:rFonts w:asciiTheme="minorHAnsi" w:hAnsiTheme="minorHAnsi"/>
                <w:snapToGrid w:val="0"/>
                <w:sz w:val="20"/>
                <w:szCs w:val="20"/>
              </w:rPr>
              <w:t>I-75 and I-85 within I-285</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174</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320H94</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PARK &amp; RIDE LOTS </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Sponsor(s) – Douglas &amp; Rockdale Counties</w:t>
            </w:r>
          </w:p>
          <w:p w:rsidR="00CA06A5" w:rsidRPr="005537E4" w:rsidRDefault="00CA06A5" w:rsidP="004248E7">
            <w:pPr>
              <w:pStyle w:val="NoSpacing"/>
              <w:rPr>
                <w:rFonts w:asciiTheme="minorHAnsi" w:hAnsiTheme="minorHAnsi"/>
                <w:snapToGrid w:val="0"/>
                <w:sz w:val="20"/>
                <w:szCs w:val="20"/>
              </w:rPr>
            </w:pP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Douglas County – Chapel Hill @ I-20,</w:t>
            </w:r>
          </w:p>
          <w:p w:rsidR="00CA06A5" w:rsidRPr="005537E4" w:rsidRDefault="00CA06A5" w:rsidP="004248E7">
            <w:pPr>
              <w:pStyle w:val="NoSpacing"/>
              <w:rPr>
                <w:rFonts w:asciiTheme="minorHAnsi" w:hAnsiTheme="minorHAnsi"/>
                <w:i/>
                <w:iCs/>
                <w:snapToGrid w:val="0"/>
                <w:sz w:val="20"/>
                <w:szCs w:val="20"/>
              </w:rPr>
            </w:pPr>
            <w:r w:rsidRPr="005537E4">
              <w:rPr>
                <w:rFonts w:asciiTheme="minorHAnsi" w:hAnsiTheme="minorHAnsi"/>
                <w:snapToGrid w:val="0"/>
                <w:sz w:val="20"/>
                <w:szCs w:val="20"/>
              </w:rPr>
              <w:t>Rockdale County – Sigman @ I-20</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DO 211C</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REGIONAL COMMUTE OPTIONS &amp; HOV MARKETING PROGRAMS</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Sponsor(s) – GDOT</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R 159</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770631</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SIGNAL PREEMPTION</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napToGrid w:val="0"/>
                <w:sz w:val="20"/>
                <w:szCs w:val="20"/>
              </w:rPr>
              <w:t>M-R 164</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napToGrid w:val="0"/>
                <w:sz w:val="20"/>
                <w:szCs w:val="20"/>
              </w:rPr>
              <w:t>770636</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TRANSIT INCENTIVES PROGRAM</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M-AR 231A</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M-AR 231B</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771031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771119</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00-02</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z w:val="20"/>
                <w:szCs w:val="20"/>
              </w:rPr>
            </w:pPr>
            <w:r w:rsidRPr="005537E4">
              <w:rPr>
                <w:rFonts w:asciiTheme="minorHAnsi" w:hAnsiTheme="minorHAnsi"/>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TRANSPORTATION MANAGEMENT ASSOCIATIONS</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ARC</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221A</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221B</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221C</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221E</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221F</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771033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771140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771141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0000570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0000571</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01-03</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CA06A5" w:rsidRPr="005537E4" w:rsidTr="004248E7">
        <w:trPr>
          <w:jc w:val="center"/>
        </w:trPr>
        <w:tc>
          <w:tcPr>
            <w:tcW w:w="4097"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UNIVERSITY RIDESHARE PROGRAM</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ARC</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220A</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220B</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220C</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220D</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200E</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771032</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771113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0000351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0000567</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0000568</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02-04</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bl>
    <w:p w:rsidR="00B31B06" w:rsidRPr="005537E4" w:rsidRDefault="00B31B06" w:rsidP="00B31B06">
      <w:pPr>
        <w:spacing w:after="0" w:line="240" w:lineRule="auto"/>
        <w:ind w:left="720"/>
      </w:pPr>
    </w:p>
    <w:p w:rsidR="00B31B06" w:rsidRPr="005537E4" w:rsidRDefault="00B31B06" w:rsidP="00B31B06">
      <w:pPr>
        <w:spacing w:after="0" w:line="240" w:lineRule="auto"/>
        <w:ind w:left="720"/>
      </w:pPr>
    </w:p>
    <w:p w:rsidR="00256799" w:rsidRPr="005537E4" w:rsidRDefault="00256799" w:rsidP="00256799">
      <w:pPr>
        <w:pStyle w:val="NoSpacing"/>
        <w:rPr>
          <w:rFonts w:asciiTheme="minorHAnsi" w:hAnsiTheme="minorHAnsi"/>
          <w:sz w:val="20"/>
          <w:szCs w:val="20"/>
        </w:rPr>
      </w:pPr>
    </w:p>
    <w:p w:rsidR="00256799" w:rsidRPr="005537E4" w:rsidRDefault="00256799" w:rsidP="001F2368">
      <w:pPr>
        <w:pStyle w:val="NoSpacing"/>
        <w:ind w:right="720"/>
        <w:rPr>
          <w:rFonts w:asciiTheme="minorHAnsi" w:hAnsiTheme="minorHAnsi"/>
        </w:rPr>
      </w:pPr>
      <w:r w:rsidRPr="005537E4">
        <w:rPr>
          <w:sz w:val="20"/>
          <w:szCs w:val="20"/>
        </w:rPr>
        <w:t xml:space="preserve">* This project was substituted for the HOV lane.  The substitution was adopted on November 5, 2009 by EPA's concurrence letter. </w:t>
      </w:r>
    </w:p>
    <w:p w:rsidR="00256799" w:rsidRPr="005537E4" w:rsidRDefault="00256799" w:rsidP="00256799">
      <w:pPr>
        <w:rPr>
          <w:rFonts w:asciiTheme="minorHAnsi" w:hAnsiTheme="minorHAnsi"/>
        </w:rPr>
      </w:pPr>
    </w:p>
    <w:p w:rsidR="00256799" w:rsidRPr="005537E4" w:rsidRDefault="00256799" w:rsidP="00256799">
      <w:pPr>
        <w:rPr>
          <w:rFonts w:asciiTheme="minorHAnsi" w:hAnsiTheme="minorHAnsi"/>
        </w:rPr>
      </w:pPr>
    </w:p>
    <w:p w:rsidR="00256799" w:rsidRPr="005537E4" w:rsidRDefault="00256799" w:rsidP="00256799">
      <w:pPr>
        <w:jc w:val="center"/>
        <w:rPr>
          <w:rFonts w:asciiTheme="minorHAnsi" w:hAnsiTheme="minorHAnsi"/>
        </w:rPr>
      </w:pPr>
      <w:r w:rsidRPr="005537E4">
        <w:rPr>
          <w:rFonts w:asciiTheme="minorHAnsi" w:hAnsiTheme="minorHAnsi"/>
        </w:rPr>
        <w:br w:type="page"/>
      </w:r>
    </w:p>
    <w:p w:rsidR="00256799" w:rsidRPr="005537E4" w:rsidRDefault="00256799" w:rsidP="00256799">
      <w:pPr>
        <w:jc w:val="center"/>
        <w:rPr>
          <w:rFonts w:asciiTheme="minorHAnsi" w:hAnsiTheme="minorHAnsi"/>
        </w:rPr>
      </w:pPr>
    </w:p>
    <w:p w:rsidR="00256799" w:rsidRPr="005537E4" w:rsidRDefault="00256799" w:rsidP="00256799">
      <w:pPr>
        <w:jc w:val="center"/>
        <w:rPr>
          <w:b/>
          <w:sz w:val="32"/>
          <w:szCs w:val="32"/>
        </w:rPr>
      </w:pPr>
    </w:p>
    <w:p w:rsidR="00256799" w:rsidRPr="005537E4" w:rsidRDefault="00256799" w:rsidP="00256799">
      <w:pPr>
        <w:jc w:val="center"/>
        <w:rPr>
          <w:b/>
          <w:sz w:val="32"/>
          <w:szCs w:val="32"/>
        </w:rPr>
      </w:pPr>
    </w:p>
    <w:p w:rsidR="00256799" w:rsidRPr="005537E4" w:rsidRDefault="00256799" w:rsidP="00256799">
      <w:pPr>
        <w:jc w:val="center"/>
        <w:rPr>
          <w:b/>
          <w:sz w:val="32"/>
          <w:szCs w:val="32"/>
        </w:rPr>
      </w:pPr>
    </w:p>
    <w:p w:rsidR="00256799" w:rsidRPr="005537E4" w:rsidRDefault="00256799" w:rsidP="00256799">
      <w:pPr>
        <w:jc w:val="center"/>
        <w:rPr>
          <w:b/>
          <w:sz w:val="32"/>
          <w:szCs w:val="32"/>
        </w:rPr>
      </w:pPr>
      <w:r w:rsidRPr="005537E4">
        <w:rPr>
          <w:b/>
          <w:sz w:val="32"/>
          <w:szCs w:val="32"/>
        </w:rPr>
        <w:t>EXHIBIT 1B</w:t>
      </w:r>
    </w:p>
    <w:p w:rsidR="00256799" w:rsidRPr="005537E4" w:rsidRDefault="00256799" w:rsidP="00256799">
      <w:pPr>
        <w:jc w:val="center"/>
        <w:rPr>
          <w:b/>
          <w:sz w:val="32"/>
          <w:szCs w:val="32"/>
        </w:rPr>
      </w:pPr>
    </w:p>
    <w:p w:rsidR="00256799" w:rsidRPr="005537E4" w:rsidRDefault="00256799" w:rsidP="00256799">
      <w:pPr>
        <w:jc w:val="center"/>
        <w:rPr>
          <w:b/>
          <w:sz w:val="28"/>
          <w:szCs w:val="28"/>
        </w:rPr>
      </w:pPr>
      <w:r w:rsidRPr="005537E4">
        <w:rPr>
          <w:b/>
          <w:sz w:val="28"/>
          <w:szCs w:val="28"/>
        </w:rPr>
        <w:t>Interagency Review of Planning Assumptions</w:t>
      </w:r>
    </w:p>
    <w:p w:rsidR="00256799" w:rsidRPr="005537E4" w:rsidRDefault="00256799" w:rsidP="00256799">
      <w:pPr>
        <w:jc w:val="center"/>
        <w:rPr>
          <w:b/>
          <w:sz w:val="28"/>
          <w:szCs w:val="28"/>
        </w:rPr>
      </w:pPr>
      <w:r w:rsidRPr="005537E4">
        <w:rPr>
          <w:b/>
          <w:sz w:val="28"/>
          <w:szCs w:val="28"/>
        </w:rPr>
        <w:t>Used in Regional Emissions Analysis</w:t>
      </w:r>
    </w:p>
    <w:p w:rsidR="00256799" w:rsidRPr="005537E4" w:rsidRDefault="00256799" w:rsidP="00256799">
      <w:pPr>
        <w:jc w:val="center"/>
        <w:rPr>
          <w:b/>
          <w:sz w:val="28"/>
          <w:szCs w:val="28"/>
        </w:rPr>
      </w:pPr>
      <w:r w:rsidRPr="005537E4">
        <w:rPr>
          <w:b/>
          <w:sz w:val="28"/>
          <w:szCs w:val="28"/>
        </w:rPr>
        <w:t>For Atlanta PM2.5 Nonattainment Area</w:t>
      </w:r>
    </w:p>
    <w:p w:rsidR="00256799" w:rsidRPr="005537E4" w:rsidRDefault="00256799" w:rsidP="00256799">
      <w:pPr>
        <w:jc w:val="center"/>
        <w:rPr>
          <w:rFonts w:ascii="Times New Roman" w:hAnsi="Times New Roman"/>
          <w:b/>
        </w:rPr>
      </w:pPr>
    </w:p>
    <w:p w:rsidR="00256799" w:rsidRPr="005537E4" w:rsidRDefault="00256799" w:rsidP="00256799">
      <w:pPr>
        <w:jc w:val="center"/>
        <w:rPr>
          <w:b/>
        </w:rPr>
      </w:pPr>
      <w:r w:rsidRPr="005537E4">
        <w:rPr>
          <w:b/>
        </w:rPr>
        <w:t>Interagency Consultation Meeting</w:t>
      </w:r>
    </w:p>
    <w:p w:rsidR="00256799" w:rsidRPr="005537E4" w:rsidRDefault="00256799" w:rsidP="00256799">
      <w:pPr>
        <w:jc w:val="center"/>
        <w:rPr>
          <w:b/>
        </w:rPr>
      </w:pPr>
      <w:r w:rsidRPr="005537E4">
        <w:rPr>
          <w:b/>
        </w:rPr>
        <w:t>Atlanta Regional Commission</w:t>
      </w:r>
    </w:p>
    <w:p w:rsidR="00256799" w:rsidRPr="005537E4" w:rsidRDefault="00256799" w:rsidP="00256799">
      <w:pPr>
        <w:jc w:val="center"/>
        <w:rPr>
          <w:b/>
        </w:rPr>
      </w:pPr>
    </w:p>
    <w:p w:rsidR="00256799" w:rsidRPr="005537E4" w:rsidRDefault="00256799" w:rsidP="00256799">
      <w:pPr>
        <w:rPr>
          <w:rFonts w:ascii="Times New Roman" w:hAnsi="Times New Roman"/>
        </w:rPr>
      </w:pPr>
    </w:p>
    <w:p w:rsidR="00DB28D5" w:rsidRPr="005537E4" w:rsidRDefault="00DB28D5" w:rsidP="00DB28D5">
      <w:pPr>
        <w:rPr>
          <w:rFonts w:asciiTheme="minorHAnsi" w:hAnsiTheme="minorHAnsi"/>
        </w:rPr>
      </w:pPr>
      <w:r w:rsidRPr="005537E4">
        <w:rPr>
          <w:rFonts w:asciiTheme="minorHAnsi" w:hAnsiTheme="minorHAnsi"/>
        </w:rPr>
        <w:t>The ARC will be conducting a conformity analysis under the PM2.5 standard as part of the confo</w:t>
      </w:r>
      <w:r w:rsidR="005769A0">
        <w:rPr>
          <w:rFonts w:asciiTheme="minorHAnsi" w:hAnsiTheme="minorHAnsi"/>
        </w:rPr>
        <w:t>rmity determination for the PLAN</w:t>
      </w:r>
      <w:r w:rsidRPr="005537E4">
        <w:rPr>
          <w:rFonts w:asciiTheme="minorHAnsi" w:hAnsiTheme="minorHAnsi"/>
        </w:rPr>
        <w:t xml:space="preserve"> 2040 RTP / FY 2012-2017 TIP for the 20 county nonattainment area.   </w:t>
      </w:r>
    </w:p>
    <w:p w:rsidR="00DB28D5" w:rsidRPr="005537E4" w:rsidRDefault="00DB28D5" w:rsidP="00DB28D5">
      <w:pPr>
        <w:rPr>
          <w:rFonts w:asciiTheme="minorHAnsi" w:hAnsiTheme="minorHAnsi"/>
        </w:rPr>
      </w:pPr>
      <w:r w:rsidRPr="005537E4">
        <w:rPr>
          <w:rFonts w:asciiTheme="minorHAnsi" w:hAnsiTheme="minorHAnsi"/>
        </w:rPr>
        <w:t>Below is a detailed listing of the procedures and planning assumptions for the upcoming</w:t>
      </w:r>
      <w:r w:rsidR="005769A0">
        <w:rPr>
          <w:rFonts w:asciiTheme="minorHAnsi" w:hAnsiTheme="minorHAnsi"/>
        </w:rPr>
        <w:t xml:space="preserve"> conformity analysis of the PLAN</w:t>
      </w:r>
      <w:r w:rsidRPr="005537E4">
        <w:rPr>
          <w:rFonts w:asciiTheme="minorHAnsi" w:hAnsiTheme="minorHAnsi"/>
        </w:rPr>
        <w:t xml:space="preserve"> 2040 RTP.  </w:t>
      </w:r>
    </w:p>
    <w:p w:rsidR="00256799" w:rsidRPr="005537E4" w:rsidRDefault="00256799" w:rsidP="00256799">
      <w:pPr>
        <w:rPr>
          <w:rFonts w:asciiTheme="minorHAnsi" w:hAnsiTheme="minorHAnsi"/>
          <w:b/>
        </w:rPr>
      </w:pPr>
      <w:r w:rsidRPr="005537E4">
        <w:br w:type="page"/>
      </w:r>
      <w:r w:rsidRPr="005537E4">
        <w:rPr>
          <w:rFonts w:asciiTheme="minorHAnsi" w:hAnsiTheme="minorHAnsi"/>
          <w:b/>
        </w:rPr>
        <w:t xml:space="preserve">Section 1: General Methods and Assumptions </w:t>
      </w:r>
    </w:p>
    <w:p w:rsidR="00256799" w:rsidRPr="005537E4" w:rsidRDefault="00256799" w:rsidP="00256799">
      <w:pPr>
        <w:pStyle w:val="NoSpacing"/>
        <w:numPr>
          <w:ilvl w:val="0"/>
          <w:numId w:val="22"/>
        </w:numPr>
        <w:ind w:left="360"/>
      </w:pPr>
      <w:r w:rsidRPr="005537E4">
        <w:t>Modeling  Methodology</w:t>
      </w:r>
    </w:p>
    <w:p w:rsidR="00256799" w:rsidRPr="005537E4" w:rsidRDefault="00256799" w:rsidP="00256799">
      <w:pPr>
        <w:pStyle w:val="NoSpacing"/>
        <w:numPr>
          <w:ilvl w:val="0"/>
          <w:numId w:val="23"/>
        </w:numPr>
      </w:pPr>
      <w:r w:rsidRPr="005537E4">
        <w:t xml:space="preserve">Estimate link-level VMT and congested flow speeds using ARC 20-county travel demand model that corresponds to the 20 </w:t>
      </w:r>
      <w:r w:rsidRPr="005537E4">
        <w:rPr>
          <w:i/>
        </w:rPr>
        <w:t>full-county</w:t>
      </w:r>
      <w:r w:rsidRPr="005537E4">
        <w:t xml:space="preserve"> portion of the PM2.5 nonattainment area</w:t>
      </w:r>
    </w:p>
    <w:p w:rsidR="00256799" w:rsidRPr="005537E4" w:rsidRDefault="00256799" w:rsidP="00256799">
      <w:pPr>
        <w:pStyle w:val="NoSpacing"/>
        <w:numPr>
          <w:ilvl w:val="0"/>
          <w:numId w:val="23"/>
        </w:numPr>
      </w:pPr>
      <w:r w:rsidRPr="005537E4">
        <w:t xml:space="preserve">Estimate VMT for Heard and Putnam </w:t>
      </w:r>
      <w:r w:rsidRPr="005537E4">
        <w:rPr>
          <w:i/>
        </w:rPr>
        <w:t>partial-county</w:t>
      </w:r>
      <w:r w:rsidRPr="005537E4">
        <w:t xml:space="preserve"> areas using historical traffic count data derived from GDOT’s Annual Traffic Count (ATC) program database</w:t>
      </w:r>
    </w:p>
    <w:p w:rsidR="00256799" w:rsidRPr="005537E4" w:rsidRDefault="00256799" w:rsidP="00256799">
      <w:pPr>
        <w:pStyle w:val="NoSpacing"/>
        <w:numPr>
          <w:ilvl w:val="0"/>
          <w:numId w:val="24"/>
        </w:numPr>
      </w:pPr>
      <w:r w:rsidRPr="005537E4">
        <w:t>ATC data provided by county by traffic count station</w:t>
      </w:r>
    </w:p>
    <w:p w:rsidR="00256799" w:rsidRPr="005537E4" w:rsidRDefault="00256799" w:rsidP="00256799">
      <w:pPr>
        <w:pStyle w:val="NoSpacing"/>
        <w:numPr>
          <w:ilvl w:val="0"/>
          <w:numId w:val="24"/>
        </w:numPr>
        <w:rPr>
          <w:rFonts w:ascii="Times New Roman" w:hAnsi="Times New Roman"/>
          <w:sz w:val="20"/>
          <w:szCs w:val="20"/>
        </w:rPr>
      </w:pPr>
      <w:r w:rsidRPr="005537E4">
        <w:t>Traffic count growth trends for each analysis year estimated through linear regression using the most recent six years of consecutive traffic count data available</w:t>
      </w:r>
    </w:p>
    <w:p w:rsidR="00256799" w:rsidRPr="005537E4" w:rsidRDefault="00256799" w:rsidP="00256799">
      <w:pPr>
        <w:pStyle w:val="NoSpacing"/>
        <w:numPr>
          <w:ilvl w:val="0"/>
          <w:numId w:val="23"/>
        </w:numPr>
      </w:pPr>
      <w:r w:rsidRPr="005537E4">
        <w:t xml:space="preserve">Estimate congested flow speeds for Heard and Putnam </w:t>
      </w:r>
      <w:r w:rsidRPr="005537E4">
        <w:rPr>
          <w:i/>
        </w:rPr>
        <w:t>partial-county</w:t>
      </w:r>
      <w:r w:rsidRPr="005537E4">
        <w:t xml:space="preserve"> areas using VMT-weighted speed by HPMS functional class, extrapolated from ARC travel demand model for each analysis year</w:t>
      </w:r>
    </w:p>
    <w:p w:rsidR="00256799" w:rsidRPr="005537E4" w:rsidRDefault="00256799" w:rsidP="00256799">
      <w:pPr>
        <w:pStyle w:val="NoSpacing"/>
        <w:numPr>
          <w:ilvl w:val="0"/>
          <w:numId w:val="22"/>
        </w:numPr>
        <w:ind w:left="360"/>
        <w:rPr>
          <w:rFonts w:asciiTheme="minorHAnsi" w:hAnsiTheme="minorHAnsi"/>
        </w:rPr>
      </w:pPr>
      <w:r w:rsidRPr="005537E4">
        <w:rPr>
          <w:rFonts w:asciiTheme="minorHAnsi" w:hAnsiTheme="minorHAnsi"/>
        </w:rPr>
        <w:t>Conformity Test</w:t>
      </w:r>
    </w:p>
    <w:p w:rsidR="00256799" w:rsidRPr="005537E4" w:rsidRDefault="00256799" w:rsidP="00256799">
      <w:pPr>
        <w:pStyle w:val="NoSpacing"/>
        <w:rPr>
          <w:rFonts w:asciiTheme="minorHAnsi" w:hAnsiTheme="minorHAnsi"/>
        </w:rPr>
      </w:pPr>
      <w:r w:rsidRPr="005537E4">
        <w:rPr>
          <w:rFonts w:asciiTheme="minorHAnsi" w:hAnsiTheme="minorHAnsi"/>
        </w:rPr>
        <w:t xml:space="preserve">       a)  Nonattainment Classification - Basic</w:t>
      </w:r>
    </w:p>
    <w:p w:rsidR="00256799" w:rsidRPr="005537E4" w:rsidRDefault="00256799" w:rsidP="00256799">
      <w:pPr>
        <w:pStyle w:val="NoSpacing"/>
        <w:rPr>
          <w:rFonts w:asciiTheme="minorHAnsi" w:hAnsiTheme="minorHAnsi"/>
        </w:rPr>
      </w:pPr>
      <w:r w:rsidRPr="005537E4">
        <w:rPr>
          <w:rFonts w:asciiTheme="minorHAnsi" w:hAnsiTheme="minorHAnsi"/>
        </w:rPr>
        <w:t xml:space="preserve">             i)   No-Greater-Than-Base-Year interim emissions test</w:t>
      </w:r>
    </w:p>
    <w:p w:rsidR="00256799" w:rsidRPr="005537E4" w:rsidRDefault="00256799" w:rsidP="00256799">
      <w:pPr>
        <w:pStyle w:val="NoSpacing"/>
        <w:ind w:left="1260" w:hanging="360"/>
        <w:rPr>
          <w:rFonts w:asciiTheme="minorHAnsi" w:hAnsiTheme="minorHAnsi"/>
        </w:rPr>
      </w:pPr>
      <w:r w:rsidRPr="005537E4">
        <w:rPr>
          <w:rFonts w:asciiTheme="minorHAnsi" w:hAnsiTheme="minorHAnsi"/>
        </w:rPr>
        <w:t>(1)  2002 base year</w:t>
      </w:r>
    </w:p>
    <w:p w:rsidR="00256799" w:rsidRPr="005537E4" w:rsidRDefault="00256799" w:rsidP="00256799">
      <w:pPr>
        <w:pStyle w:val="NoSpacing"/>
        <w:ind w:left="1260" w:hanging="360"/>
        <w:rPr>
          <w:rFonts w:asciiTheme="minorHAnsi" w:hAnsiTheme="minorHAnsi"/>
        </w:rPr>
      </w:pPr>
      <w:r w:rsidRPr="005537E4">
        <w:rPr>
          <w:rFonts w:asciiTheme="minorHAnsi" w:hAnsiTheme="minorHAnsi"/>
        </w:rPr>
        <w:t>(2)  Base year emissions to be developed as part of conformity analysis as provided for in preamble to the eight-hour ozone and PM2.5 Transportation Conformity Rule</w:t>
      </w:r>
      <w:r w:rsidRPr="005537E4">
        <w:rPr>
          <w:rStyle w:val="FootnoteReference"/>
          <w:rFonts w:asciiTheme="minorHAnsi" w:hAnsiTheme="minorHAnsi"/>
        </w:rPr>
        <w:footnoteReference w:id="6"/>
      </w:r>
      <w:r w:rsidRPr="005537E4">
        <w:rPr>
          <w:rFonts w:asciiTheme="minorHAnsi" w:hAnsiTheme="minorHAnsi"/>
        </w:rPr>
        <w:t>.  Base year emissions will be established using the same modeling methodology presented above.</w:t>
      </w:r>
    </w:p>
    <w:p w:rsidR="00256799" w:rsidRPr="005537E4" w:rsidRDefault="00256799" w:rsidP="00256799">
      <w:pPr>
        <w:pStyle w:val="NoSpacing"/>
        <w:numPr>
          <w:ilvl w:val="0"/>
          <w:numId w:val="25"/>
        </w:numPr>
        <w:ind w:left="360"/>
      </w:pPr>
      <w:r w:rsidRPr="005537E4">
        <w:t xml:space="preserve">Conformity Analysis Years: </w:t>
      </w:r>
      <w:r w:rsidR="009B3519" w:rsidRPr="005537E4">
        <w:t>2016, 2020, 2030, 2040</w:t>
      </w:r>
    </w:p>
    <w:p w:rsidR="00256799" w:rsidRPr="005537E4" w:rsidRDefault="00256799" w:rsidP="00256799">
      <w:pPr>
        <w:pStyle w:val="NoSpacing"/>
        <w:numPr>
          <w:ilvl w:val="0"/>
          <w:numId w:val="25"/>
        </w:numPr>
        <w:ind w:left="360"/>
      </w:pPr>
      <w:r w:rsidRPr="005537E4">
        <w:t xml:space="preserve">Modeling Start Date: </w:t>
      </w:r>
      <w:r w:rsidR="00472431">
        <w:t>March 2011</w:t>
      </w:r>
      <w:r w:rsidRPr="005537E4">
        <w:t xml:space="preserve">.  This start date is defined by the ARC as the initiation of the first model </w:t>
      </w:r>
      <w:r w:rsidR="005769A0">
        <w:t>run for the PLAN 204</w:t>
      </w:r>
      <w:r w:rsidRPr="005537E4">
        <w:t>0 RTP Update and FY 2008-2013 TIP, begun when all datasets needed for the model run were completed.</w:t>
      </w:r>
    </w:p>
    <w:p w:rsidR="00256799" w:rsidRPr="005537E4" w:rsidRDefault="00256799" w:rsidP="00256799">
      <w:pPr>
        <w:pStyle w:val="NoSpacing"/>
        <w:numPr>
          <w:ilvl w:val="0"/>
          <w:numId w:val="25"/>
        </w:numPr>
        <w:ind w:left="360"/>
      </w:pPr>
      <w:r w:rsidRPr="005537E4">
        <w:t xml:space="preserve">Interagency Consensus on Planning Assumptions: </w:t>
      </w:r>
      <w:r w:rsidR="005537E4">
        <w:t>January 25</w:t>
      </w:r>
      <w:r w:rsidR="009B3519" w:rsidRPr="005537E4">
        <w:t>, 201</w:t>
      </w:r>
      <w:r w:rsidR="005537E4">
        <w:t>1</w:t>
      </w:r>
    </w:p>
    <w:p w:rsidR="00256799" w:rsidRPr="005537E4" w:rsidRDefault="00256799" w:rsidP="00256799">
      <w:pPr>
        <w:pStyle w:val="NoSpacing"/>
      </w:pPr>
    </w:p>
    <w:p w:rsidR="00256799" w:rsidRPr="005537E4" w:rsidRDefault="00256799" w:rsidP="00256799">
      <w:pPr>
        <w:pStyle w:val="NoSpacing"/>
      </w:pPr>
    </w:p>
    <w:p w:rsidR="00256799" w:rsidRPr="005537E4" w:rsidRDefault="00256799" w:rsidP="00256799">
      <w:pPr>
        <w:rPr>
          <w:rFonts w:asciiTheme="minorHAnsi" w:hAnsiTheme="minorHAnsi"/>
          <w:b/>
        </w:rPr>
      </w:pPr>
      <w:r w:rsidRPr="005537E4">
        <w:rPr>
          <w:rFonts w:asciiTheme="minorHAnsi" w:hAnsiTheme="minorHAnsi"/>
          <w:b/>
        </w:rPr>
        <w:t>Section 2: Travel Demand Modeling Assumptions</w:t>
      </w:r>
    </w:p>
    <w:p w:rsidR="00256799" w:rsidRPr="005537E4" w:rsidRDefault="00256799" w:rsidP="00256799">
      <w:pPr>
        <w:pStyle w:val="NoSpacing"/>
        <w:numPr>
          <w:ilvl w:val="0"/>
          <w:numId w:val="26"/>
        </w:numPr>
        <w:ind w:left="360"/>
      </w:pPr>
      <w:r w:rsidRPr="005537E4">
        <w:t>Calibration Year: 2000 (with some 2005 interim validations</w:t>
      </w:r>
      <w:r w:rsidR="009B3519" w:rsidRPr="005537E4">
        <w:t xml:space="preserve"> and benchmarking thereafter</w:t>
      </w:r>
      <w:r w:rsidRPr="005537E4">
        <w:t>)</w:t>
      </w:r>
    </w:p>
    <w:p w:rsidR="00256799" w:rsidRPr="005537E4" w:rsidRDefault="00256799" w:rsidP="00256799">
      <w:pPr>
        <w:pStyle w:val="NoSpacing"/>
        <w:numPr>
          <w:ilvl w:val="0"/>
          <w:numId w:val="26"/>
        </w:numPr>
        <w:ind w:left="360"/>
      </w:pPr>
      <w:r w:rsidRPr="005537E4">
        <w:rPr>
          <w:rFonts w:asciiTheme="minorHAnsi" w:hAnsiTheme="minorHAnsi"/>
        </w:rPr>
        <w:t>Project Listing:  Project listings will be provided in electronic format to Interagency Consultation Group for review</w:t>
      </w:r>
      <w:r w:rsidR="00DB28D5" w:rsidRPr="005537E4">
        <w:t xml:space="preserve"> in the first quarter of 2011.</w:t>
      </w:r>
    </w:p>
    <w:p w:rsidR="00256799" w:rsidRPr="005537E4" w:rsidRDefault="00256799" w:rsidP="00256799">
      <w:pPr>
        <w:pStyle w:val="NoSpacing"/>
        <w:ind w:left="360"/>
        <w:rPr>
          <w:rFonts w:asciiTheme="minorHAnsi" w:hAnsiTheme="minorHAnsi"/>
        </w:rPr>
      </w:pPr>
      <w:r w:rsidRPr="005537E4">
        <w:rPr>
          <w:rFonts w:asciiTheme="minorHAnsi" w:hAnsiTheme="minorHAnsi"/>
        </w:rPr>
        <w:t>a)   Regionally Significant and Federally Funded</w:t>
      </w:r>
    </w:p>
    <w:p w:rsidR="00256799" w:rsidRPr="005537E4" w:rsidRDefault="00256799" w:rsidP="00256799">
      <w:pPr>
        <w:pStyle w:val="NoSpacing"/>
        <w:ind w:left="360"/>
        <w:rPr>
          <w:rFonts w:asciiTheme="minorHAnsi" w:hAnsiTheme="minorHAnsi"/>
        </w:rPr>
      </w:pPr>
      <w:r w:rsidRPr="005537E4">
        <w:rPr>
          <w:rFonts w:asciiTheme="minorHAnsi" w:hAnsiTheme="minorHAnsi"/>
        </w:rPr>
        <w:t>b)   Regionally Significant and Non-Federally Funded</w:t>
      </w:r>
    </w:p>
    <w:p w:rsidR="00256799" w:rsidRPr="005537E4" w:rsidRDefault="00256799" w:rsidP="00256799">
      <w:pPr>
        <w:pStyle w:val="NoSpacing"/>
        <w:numPr>
          <w:ilvl w:val="0"/>
          <w:numId w:val="26"/>
        </w:numPr>
        <w:ind w:left="360"/>
      </w:pPr>
      <w:r w:rsidRPr="005537E4">
        <w:t>Demographic Data:  Provided as separate attachment</w:t>
      </w:r>
    </w:p>
    <w:p w:rsidR="00256799" w:rsidRPr="005537E4" w:rsidRDefault="00256799" w:rsidP="00256799">
      <w:pPr>
        <w:pStyle w:val="NoSpacing"/>
        <w:numPr>
          <w:ilvl w:val="0"/>
          <w:numId w:val="26"/>
        </w:numPr>
        <w:ind w:left="360"/>
        <w:rPr>
          <w:rFonts w:asciiTheme="minorHAnsi" w:hAnsiTheme="minorHAnsi"/>
        </w:rPr>
      </w:pPr>
      <w:r w:rsidRPr="005537E4">
        <w:rPr>
          <w:rFonts w:asciiTheme="minorHAnsi" w:hAnsiTheme="minorHAnsi"/>
        </w:rPr>
        <w:t>Speed Data: Free-flow Speed by Area Type and Facility Type</w:t>
      </w:r>
      <w:r w:rsidRPr="005537E4">
        <w:rPr>
          <w:rStyle w:val="FootnoteReference"/>
          <w:rFonts w:asciiTheme="minorHAnsi" w:hAnsiTheme="minorHAnsi"/>
        </w:rPr>
        <w:footnoteReference w:id="7"/>
      </w:r>
      <w:r w:rsidRPr="005537E4">
        <w:rPr>
          <w:rFonts w:asciiTheme="minorHAnsi" w:hAnsiTheme="minorHAnsi"/>
        </w:rPr>
        <w:t xml:space="preserve"> </w:t>
      </w:r>
    </w:p>
    <w:p w:rsidR="00256799" w:rsidRPr="005537E4" w:rsidRDefault="00256799" w:rsidP="00256799">
      <w:pPr>
        <w:rPr>
          <w:rFonts w:asciiTheme="minorHAnsi" w:hAnsiTheme="minorHAnsi"/>
        </w:rPr>
      </w:pPr>
      <w:r w:rsidRPr="005537E4">
        <w:rPr>
          <w:rFonts w:asciiTheme="minorHAnsi" w:hAnsiTheme="minorHAnsi"/>
        </w:rPr>
        <w:t xml:space="preserve"> </w:t>
      </w:r>
    </w:p>
    <w:p w:rsidR="00256799" w:rsidRPr="005537E4" w:rsidRDefault="00256799" w:rsidP="00256799">
      <w:pPr>
        <w:rPr>
          <w:rFonts w:asciiTheme="minorHAnsi" w:hAnsiTheme="minorHAnsi"/>
        </w:rPr>
      </w:pPr>
      <w:r w:rsidRPr="005537E4">
        <w:rPr>
          <w:rFonts w:asciiTheme="minorHAnsi" w:hAnsiTheme="minorHAnsi"/>
        </w:rPr>
        <w:br w:type="page"/>
      </w:r>
    </w:p>
    <w:tbl>
      <w:tblPr>
        <w:tblW w:w="0" w:type="auto"/>
        <w:jc w:val="center"/>
        <w:tblCellMar>
          <w:left w:w="10" w:type="dxa"/>
          <w:right w:w="10" w:type="dxa"/>
        </w:tblCellMar>
        <w:tblLook w:val="0000"/>
      </w:tblPr>
      <w:tblGrid>
        <w:gridCol w:w="244"/>
        <w:gridCol w:w="1695"/>
        <w:gridCol w:w="1146"/>
        <w:gridCol w:w="1008"/>
        <w:gridCol w:w="1171"/>
        <w:gridCol w:w="996"/>
        <w:gridCol w:w="882"/>
        <w:gridCol w:w="752"/>
        <w:gridCol w:w="576"/>
        <w:gridCol w:w="910"/>
      </w:tblGrid>
      <w:tr w:rsidR="00256799" w:rsidRPr="005537E4" w:rsidTr="00B52189">
        <w:trPr>
          <w:trHeight w:val="255"/>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56799" w:rsidRPr="005537E4" w:rsidRDefault="00256799" w:rsidP="00B52189">
            <w:pPr>
              <w:pStyle w:val="NoSpacing"/>
              <w:jc w:val="center"/>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56799" w:rsidRPr="005537E4" w:rsidRDefault="00256799" w:rsidP="00B52189">
            <w:pPr>
              <w:pStyle w:val="NoSpacing"/>
              <w:jc w:val="center"/>
              <w:rPr>
                <w:rFonts w:asciiTheme="minorHAnsi" w:hAnsiTheme="minorHAnsi"/>
              </w:rPr>
            </w:pPr>
          </w:p>
        </w:tc>
        <w:tc>
          <w:tcPr>
            <w:tcW w:w="653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Area Type</w:t>
            </w:r>
          </w:p>
        </w:tc>
        <w:tc>
          <w:tcPr>
            <w:tcW w:w="9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648"/>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Facility Type</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Very High Density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High Density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Medium Density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Urban Low Density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Suburban</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Exurban</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Rural</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Metered Ramps</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Zone Centroid Connectors</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14</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14</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Interstate / Freeway  Free Flow</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63</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Parkway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HOV Buffer Separated</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63</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HOV Barrier Separated</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63</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High Speed Ramp / CD Road</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15</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Medium Speed Ramp</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Low Speed Ramp</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Loop Ramp</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9</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Off Ramp w/ Intersection</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On Ramp w/ Intersection</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Expressway</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60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Principal Arterial - Class I</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33</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46</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13</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Principal Arterial - Class II</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44</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48</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Minor Arterial - Class I</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42</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Minor Arterial - Class II</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23</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29</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38</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42</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HOV - Arterial (all classes)</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33</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36</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39</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42</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Major Collector</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22</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34</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38</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Minor Collector</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18</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21</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24</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27</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19</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Planned Ramps w/ Intersections</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30</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5</w:t>
            </w:r>
          </w:p>
        </w:tc>
      </w:tr>
      <w:tr w:rsidR="00256799" w:rsidRPr="005537E4" w:rsidTr="00B52189">
        <w:trPr>
          <w:trHeight w:val="255"/>
          <w:jc w:val="center"/>
        </w:trPr>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20</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Planned Directional Ramps</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0" w:type="auto"/>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576"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45</w:t>
            </w:r>
          </w:p>
        </w:tc>
        <w:tc>
          <w:tcPr>
            <w:tcW w:w="910"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pStyle w:val="NoSpacing"/>
              <w:jc w:val="center"/>
              <w:rPr>
                <w:rFonts w:asciiTheme="minorHAnsi" w:hAnsiTheme="minorHAnsi"/>
              </w:rPr>
            </w:pPr>
            <w:r w:rsidRPr="005537E4">
              <w:rPr>
                <w:rFonts w:asciiTheme="minorHAnsi" w:hAnsiTheme="minorHAnsi"/>
              </w:rPr>
              <w:t>10</w:t>
            </w:r>
          </w:p>
        </w:tc>
      </w:tr>
    </w:tbl>
    <w:p w:rsidR="00256799" w:rsidRPr="005537E4" w:rsidRDefault="00256799" w:rsidP="00256799">
      <w:pPr>
        <w:rPr>
          <w:rFonts w:asciiTheme="minorHAnsi" w:hAnsiTheme="minorHAnsi"/>
        </w:rPr>
      </w:pPr>
    </w:p>
    <w:p w:rsidR="00256799" w:rsidRPr="005537E4" w:rsidRDefault="00256799" w:rsidP="00256799">
      <w:pPr>
        <w:pStyle w:val="NoSpacing"/>
        <w:rPr>
          <w:rStyle w:val="Strong"/>
          <w:rFonts w:asciiTheme="minorHAnsi" w:hAnsiTheme="minorHAnsi"/>
          <w:b w:val="0"/>
        </w:rPr>
      </w:pPr>
    </w:p>
    <w:p w:rsidR="00256799" w:rsidRPr="005537E4" w:rsidRDefault="00256799" w:rsidP="00256799">
      <w:pPr>
        <w:pStyle w:val="NoSpacing"/>
        <w:rPr>
          <w:rStyle w:val="Strong"/>
          <w:rFonts w:asciiTheme="minorHAnsi" w:hAnsiTheme="minorHAnsi"/>
          <w:b w:val="0"/>
        </w:rPr>
      </w:pPr>
    </w:p>
    <w:p w:rsidR="00256799" w:rsidRPr="005537E4" w:rsidRDefault="00256799" w:rsidP="00256799">
      <w:pPr>
        <w:pStyle w:val="NoSpacing"/>
        <w:rPr>
          <w:rStyle w:val="Strong"/>
          <w:rFonts w:asciiTheme="minorHAnsi" w:hAnsiTheme="minorHAnsi"/>
          <w:b w:val="0"/>
        </w:rPr>
      </w:pPr>
    </w:p>
    <w:p w:rsidR="00256799" w:rsidRPr="005537E4" w:rsidRDefault="00256799" w:rsidP="00256799">
      <w:pPr>
        <w:pStyle w:val="NoSpacing"/>
        <w:rPr>
          <w:rStyle w:val="Strong"/>
          <w:rFonts w:asciiTheme="minorHAnsi" w:hAnsiTheme="minorHAnsi"/>
          <w:b w:val="0"/>
        </w:rPr>
      </w:pP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5)  Transit Modeling</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a)   Model recalibrated to 2000 transit ridership estimates, provided by transit operators</w:t>
      </w:r>
    </w:p>
    <w:p w:rsidR="00256799" w:rsidRPr="005537E4" w:rsidRDefault="00256799" w:rsidP="009B3519">
      <w:pPr>
        <w:pStyle w:val="NoSpacing"/>
        <w:ind w:left="630" w:hanging="630"/>
        <w:rPr>
          <w:rStyle w:val="Strong"/>
          <w:rFonts w:asciiTheme="minorHAnsi" w:hAnsiTheme="minorHAnsi"/>
          <w:b w:val="0"/>
        </w:rPr>
      </w:pPr>
      <w:r w:rsidRPr="005537E4">
        <w:rPr>
          <w:rStyle w:val="Strong"/>
          <w:rFonts w:asciiTheme="minorHAnsi" w:hAnsiTheme="minorHAnsi"/>
          <w:b w:val="0"/>
        </w:rPr>
        <w:t xml:space="preserve">      b)   Reflects results from </w:t>
      </w:r>
      <w:r w:rsidRPr="005537E4">
        <w:rPr>
          <w:rFonts w:asciiTheme="minorHAnsi" w:hAnsiTheme="minorHAnsi"/>
          <w:bCs/>
        </w:rPr>
        <w:t xml:space="preserve">the 2001-2002 </w:t>
      </w:r>
      <w:r w:rsidRPr="005537E4">
        <w:rPr>
          <w:rStyle w:val="Strong"/>
          <w:rFonts w:asciiTheme="minorHAnsi" w:hAnsiTheme="minorHAnsi"/>
          <w:b w:val="0"/>
        </w:rPr>
        <w:t>Transit On Board Survey</w:t>
      </w:r>
      <w:r w:rsidR="009B3519" w:rsidRPr="005537E4">
        <w:t>, with preliminary adjustments from   2009 Transit On Board Survey</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c)   Routes updated to reflect current operating plans</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d)   Transit mode split is estimated using the mode choice model </w:t>
      </w:r>
    </w:p>
    <w:p w:rsidR="00256799" w:rsidRPr="005537E4" w:rsidRDefault="00256799" w:rsidP="00256799">
      <w:pPr>
        <w:pStyle w:val="NoSpacing"/>
        <w:ind w:left="1080" w:hanging="450"/>
        <w:rPr>
          <w:rStyle w:val="Strong"/>
          <w:rFonts w:asciiTheme="minorHAnsi" w:hAnsiTheme="minorHAnsi"/>
          <w:b w:val="0"/>
        </w:rPr>
      </w:pPr>
      <w:r w:rsidRPr="005537E4">
        <w:rPr>
          <w:rStyle w:val="Strong"/>
          <w:rFonts w:asciiTheme="minorHAnsi" w:hAnsiTheme="minorHAnsi"/>
          <w:b w:val="0"/>
        </w:rPr>
        <w:t xml:space="preserve">i)   Estimates individual modal trips from the person trip movements developed in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the trip distribution model.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ii)   Composed of three nested logit models: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(1) Home based work trips, which includes home based university trips; </w:t>
      </w:r>
    </w:p>
    <w:p w:rsidR="00256799" w:rsidRPr="005537E4" w:rsidRDefault="00256799" w:rsidP="00256799">
      <w:pPr>
        <w:pStyle w:val="NoSpacing"/>
        <w:ind w:left="1080" w:hanging="360"/>
        <w:rPr>
          <w:rStyle w:val="Strong"/>
          <w:rFonts w:asciiTheme="minorHAnsi" w:hAnsiTheme="minorHAnsi"/>
          <w:b w:val="0"/>
        </w:rPr>
      </w:pPr>
      <w:r w:rsidRPr="005537E4">
        <w:rPr>
          <w:rStyle w:val="Strong"/>
          <w:rFonts w:asciiTheme="minorHAnsi" w:hAnsiTheme="minorHAnsi"/>
          <w:b w:val="0"/>
        </w:rPr>
        <w:t xml:space="preserve">(2) Home based other trips, which include home based other, home based shopping and home based grade school; and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(3) Non-home based trips.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w:t>
      </w:r>
      <w:r w:rsidR="00227751" w:rsidRPr="005537E4">
        <w:rPr>
          <w:rStyle w:val="Strong"/>
          <w:rFonts w:asciiTheme="minorHAnsi" w:hAnsiTheme="minorHAnsi"/>
          <w:b w:val="0"/>
        </w:rPr>
        <w:t xml:space="preserve">iii)   The mode choice model is organized in terms of seven characteristics: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(1) Mathematical structure;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(2) Trip purposes and choice sets;</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(3) Limitations on choice sets;</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(4) Analysis of transit access;</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(5) Treatment of HOV lanes;</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ab/>
        <w:t xml:space="preserve"> (6) Stratification by income groups; and</w:t>
      </w:r>
    </w:p>
    <w:p w:rsidR="00256799" w:rsidRPr="005537E4" w:rsidRDefault="00256799" w:rsidP="00256799">
      <w:pPr>
        <w:pStyle w:val="NoSpacing"/>
        <w:rPr>
          <w:rStyle w:val="Strong"/>
          <w:rFonts w:asciiTheme="minorHAnsi" w:hAnsiTheme="minorHAnsi"/>
        </w:rPr>
      </w:pPr>
      <w:r w:rsidRPr="005537E4">
        <w:rPr>
          <w:rStyle w:val="Strong"/>
          <w:rFonts w:asciiTheme="minorHAnsi" w:hAnsiTheme="minorHAnsi"/>
          <w:b w:val="0"/>
        </w:rPr>
        <w:tab/>
        <w:t xml:space="preserve"> (7) Analysis of alternative transit paths. </w:t>
      </w:r>
    </w:p>
    <w:p w:rsidR="00256799" w:rsidRPr="005537E4" w:rsidRDefault="00256799" w:rsidP="00256799">
      <w:pPr>
        <w:pStyle w:val="NoSpacing"/>
        <w:rPr>
          <w:rStyle w:val="Strong"/>
          <w:rFonts w:asciiTheme="minorHAnsi" w:hAnsiTheme="minorHAnsi"/>
          <w:b w:val="0"/>
        </w:rPr>
      </w:pPr>
      <w:r w:rsidRPr="005537E4">
        <w:rPr>
          <w:rStyle w:val="Strong"/>
          <w:rFonts w:asciiTheme="minorHAnsi" w:hAnsiTheme="minorHAnsi"/>
          <w:b w:val="0"/>
        </w:rPr>
        <w:t xml:space="preserve">         e)   Transit Fare Modeling</w:t>
      </w:r>
    </w:p>
    <w:p w:rsidR="00256799" w:rsidRPr="005537E4" w:rsidRDefault="00256799" w:rsidP="00256799">
      <w:pPr>
        <w:pStyle w:val="NoSpacing"/>
        <w:tabs>
          <w:tab w:val="left" w:pos="630"/>
        </w:tabs>
        <w:rPr>
          <w:rStyle w:val="Strong"/>
          <w:rFonts w:asciiTheme="minorHAnsi" w:hAnsiTheme="minorHAnsi"/>
          <w:b w:val="0"/>
        </w:rPr>
      </w:pPr>
      <w:r w:rsidRPr="005537E4">
        <w:rPr>
          <w:rStyle w:val="Strong"/>
          <w:rFonts w:asciiTheme="minorHAnsi" w:hAnsiTheme="minorHAnsi"/>
          <w:b w:val="0"/>
        </w:rPr>
        <w:tab/>
        <w:t xml:space="preserve"> i)   Fare structure and operating plans supplied by the local transit operators</w:t>
      </w:r>
    </w:p>
    <w:p w:rsidR="00256799" w:rsidRPr="005537E4" w:rsidRDefault="00256799" w:rsidP="00256799">
      <w:pPr>
        <w:pStyle w:val="NoSpacing"/>
        <w:ind w:firstLine="810"/>
        <w:rPr>
          <w:rStyle w:val="Strong"/>
          <w:rFonts w:asciiTheme="minorHAnsi" w:hAnsiTheme="minorHAnsi"/>
          <w:b w:val="0"/>
        </w:rPr>
      </w:pPr>
      <w:r w:rsidRPr="005537E4">
        <w:rPr>
          <w:rStyle w:val="Strong"/>
          <w:rFonts w:asciiTheme="minorHAnsi" w:hAnsiTheme="minorHAnsi"/>
          <w:b w:val="0"/>
        </w:rPr>
        <w:t>(1) Fares remain constant over time, across all network years</w:t>
      </w:r>
    </w:p>
    <w:p w:rsidR="00256799" w:rsidRPr="005537E4" w:rsidRDefault="00256799" w:rsidP="00256799">
      <w:pPr>
        <w:pStyle w:val="NoSpacing"/>
        <w:tabs>
          <w:tab w:val="left" w:pos="720"/>
        </w:tabs>
        <w:ind w:firstLine="810"/>
        <w:rPr>
          <w:rStyle w:val="Strong"/>
          <w:rFonts w:asciiTheme="minorHAnsi" w:hAnsiTheme="minorHAnsi"/>
          <w:b w:val="0"/>
        </w:rPr>
      </w:pPr>
      <w:r w:rsidRPr="005537E4">
        <w:rPr>
          <w:rStyle w:val="Strong"/>
          <w:rFonts w:asciiTheme="minorHAnsi" w:hAnsiTheme="minorHAnsi"/>
          <w:b w:val="0"/>
        </w:rPr>
        <w:t xml:space="preserve">(2) Fares reflect current transit operating plans </w:t>
      </w:r>
    </w:p>
    <w:p w:rsidR="00256799" w:rsidRPr="005537E4" w:rsidRDefault="00256799" w:rsidP="00256799">
      <w:pPr>
        <w:pStyle w:val="NoSpacing"/>
        <w:tabs>
          <w:tab w:val="left" w:pos="630"/>
        </w:tabs>
        <w:ind w:left="990" w:hanging="360"/>
        <w:rPr>
          <w:rStyle w:val="Strong"/>
          <w:rFonts w:asciiTheme="minorHAnsi" w:hAnsiTheme="minorHAnsi"/>
          <w:b w:val="0"/>
        </w:rPr>
      </w:pPr>
      <w:r w:rsidRPr="005537E4">
        <w:rPr>
          <w:rStyle w:val="Strong"/>
          <w:rFonts w:asciiTheme="minorHAnsi" w:hAnsiTheme="minorHAnsi"/>
          <w:b w:val="0"/>
        </w:rPr>
        <w:t xml:space="preserve"> ii)   Transit fare structure uses a fare matrix on a zone to zone level with a universal fare structure (flat fare) for all bus and rail lines</w:t>
      </w:r>
    </w:p>
    <w:p w:rsidR="00256799" w:rsidRPr="005537E4" w:rsidRDefault="00256799" w:rsidP="00256799">
      <w:pPr>
        <w:pStyle w:val="NoSpacing"/>
        <w:ind w:left="1080" w:hanging="360"/>
        <w:rPr>
          <w:rStyle w:val="Strong"/>
          <w:rFonts w:asciiTheme="minorHAnsi" w:hAnsiTheme="minorHAnsi"/>
          <w:b w:val="0"/>
        </w:rPr>
      </w:pPr>
      <w:r w:rsidRPr="005537E4">
        <w:rPr>
          <w:rStyle w:val="Strong"/>
          <w:rFonts w:asciiTheme="minorHAnsi" w:hAnsiTheme="minorHAnsi"/>
          <w:b w:val="0"/>
        </w:rPr>
        <w:t xml:space="preserve">(1) Changes to the existing fare structure and service frequency are </w:t>
      </w:r>
      <w:r w:rsidR="00227751" w:rsidRPr="005537E4">
        <w:rPr>
          <w:rStyle w:val="Strong"/>
          <w:rFonts w:asciiTheme="minorHAnsi" w:hAnsiTheme="minorHAnsi"/>
          <w:b w:val="0"/>
        </w:rPr>
        <w:t>coded directly</w:t>
      </w:r>
      <w:r w:rsidRPr="005537E4">
        <w:rPr>
          <w:rStyle w:val="Strong"/>
          <w:rFonts w:asciiTheme="minorHAnsi" w:hAnsiTheme="minorHAnsi"/>
          <w:b w:val="0"/>
        </w:rPr>
        <w:t xml:space="preserve"> into the model </w:t>
      </w:r>
    </w:p>
    <w:p w:rsidR="00256799" w:rsidRPr="005537E4" w:rsidRDefault="00256799" w:rsidP="00256799">
      <w:pPr>
        <w:pStyle w:val="NoSpacing"/>
        <w:ind w:left="1080" w:hanging="360"/>
        <w:rPr>
          <w:rStyle w:val="Strong"/>
          <w:rFonts w:asciiTheme="minorHAnsi" w:hAnsiTheme="minorHAnsi"/>
          <w:b w:val="0"/>
        </w:rPr>
      </w:pPr>
      <w:r w:rsidRPr="005537E4">
        <w:rPr>
          <w:rStyle w:val="Strong"/>
          <w:rFonts w:asciiTheme="minorHAnsi" w:hAnsiTheme="minorHAnsi"/>
          <w:b w:val="0"/>
        </w:rPr>
        <w:t xml:space="preserve">(2) Current fare values in the model are weighted according to the percentage of riders using a discounted fare pass; changes to these assumptions can be incorporated directly into the model </w:t>
      </w:r>
    </w:p>
    <w:p w:rsidR="00256799" w:rsidRPr="005537E4" w:rsidRDefault="00256799" w:rsidP="00256799">
      <w:pPr>
        <w:pStyle w:val="NoSpacing"/>
        <w:ind w:firstLine="720"/>
        <w:rPr>
          <w:rStyle w:val="Strong"/>
          <w:rFonts w:asciiTheme="minorHAnsi" w:hAnsiTheme="minorHAnsi"/>
          <w:b w:val="0"/>
        </w:rPr>
      </w:pPr>
      <w:r w:rsidRPr="005537E4">
        <w:rPr>
          <w:rStyle w:val="Strong"/>
          <w:rFonts w:asciiTheme="minorHAnsi" w:hAnsiTheme="minorHAnsi"/>
          <w:b w:val="0"/>
        </w:rPr>
        <w:t>(3) Peak and off-peak fares are equivalent</w:t>
      </w:r>
    </w:p>
    <w:p w:rsidR="009B3519" w:rsidRPr="005537E4" w:rsidRDefault="009B3519" w:rsidP="009B3519">
      <w:pPr>
        <w:pStyle w:val="NoSpacing"/>
        <w:ind w:firstLine="270"/>
        <w:rPr>
          <w:rFonts w:asciiTheme="minorHAnsi" w:hAnsiTheme="minorHAnsi"/>
        </w:rPr>
      </w:pPr>
      <w:r w:rsidRPr="005537E4">
        <w:rPr>
          <w:rFonts w:asciiTheme="minorHAnsi" w:hAnsiTheme="minorHAnsi"/>
        </w:rPr>
        <w:t>f)   2009 Transit On Board Survey interim adjustments</w:t>
      </w:r>
    </w:p>
    <w:p w:rsidR="009B3519" w:rsidRPr="005537E4" w:rsidRDefault="009B3519" w:rsidP="009B3519">
      <w:pPr>
        <w:pStyle w:val="NoSpacing"/>
        <w:ind w:left="810" w:hanging="270"/>
        <w:rPr>
          <w:rFonts w:asciiTheme="minorHAnsi" w:hAnsiTheme="minorHAnsi"/>
        </w:rPr>
      </w:pPr>
      <w:r w:rsidRPr="005537E4">
        <w:rPr>
          <w:rFonts w:asciiTheme="minorHAnsi" w:hAnsiTheme="minorHAnsi"/>
        </w:rPr>
        <w:t>i)   Update of regional transit travel targets based on a preliminary expansion of the raw on-board survey data</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(1)  Modifications to express bus and BRT transfer constants</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(2)  Modifications to travel demand model estimates of zero-car transit work trips</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(3)  Modifications to travel demand model estimates of kiss-and-ride passenger access and use of transit system</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(4)  Overall evaluation of all modal constants</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(5)  Refinement to park-and-ride lot assumptions</w:t>
      </w:r>
    </w:p>
    <w:p w:rsidR="009B3519" w:rsidRPr="005537E4" w:rsidRDefault="009B3519" w:rsidP="009B3519">
      <w:pPr>
        <w:pStyle w:val="NoSpacing"/>
        <w:ind w:left="1440" w:hanging="360"/>
        <w:rPr>
          <w:rFonts w:asciiTheme="minorHAnsi" w:hAnsiTheme="minorHAnsi"/>
        </w:rPr>
      </w:pPr>
      <w:r w:rsidRPr="005537E4">
        <w:rPr>
          <w:rFonts w:asciiTheme="minorHAnsi" w:hAnsiTheme="minorHAnsi"/>
        </w:rPr>
        <w:t>(6)  Updated walk connector and percent walk procedures</w:t>
      </w:r>
    </w:p>
    <w:p w:rsidR="009B3519" w:rsidRPr="005537E4" w:rsidRDefault="009B3519" w:rsidP="009B3519">
      <w:pPr>
        <w:pStyle w:val="NoSpacing"/>
        <w:ind w:left="810" w:hanging="270"/>
        <w:rPr>
          <w:rFonts w:asciiTheme="minorHAnsi" w:hAnsiTheme="minorHAnsi"/>
        </w:rPr>
      </w:pPr>
      <w:r w:rsidRPr="005537E4">
        <w:rPr>
          <w:rFonts w:asciiTheme="minorHAnsi" w:hAnsiTheme="minorHAnsi"/>
        </w:rPr>
        <w:t>ii)  Modified transit skimming procedures</w:t>
      </w:r>
    </w:p>
    <w:p w:rsidR="009B3519" w:rsidRPr="005537E4" w:rsidRDefault="009B3519" w:rsidP="009B3519">
      <w:pPr>
        <w:pStyle w:val="NoSpacing"/>
        <w:ind w:left="810" w:hanging="270"/>
        <w:rPr>
          <w:rFonts w:asciiTheme="minorHAnsi" w:hAnsiTheme="minorHAnsi"/>
        </w:rPr>
      </w:pPr>
      <w:r w:rsidRPr="005537E4">
        <w:rPr>
          <w:rFonts w:asciiTheme="minorHAnsi" w:hAnsiTheme="minorHAnsi"/>
        </w:rPr>
        <w:t>iii) Re-calibrated air passenger model</w:t>
      </w:r>
    </w:p>
    <w:p w:rsidR="009B3519" w:rsidRPr="005537E4" w:rsidRDefault="009B3519" w:rsidP="009B3519">
      <w:pPr>
        <w:pStyle w:val="NoSpacing"/>
        <w:ind w:left="810" w:hanging="270"/>
        <w:rPr>
          <w:rFonts w:asciiTheme="minorHAnsi" w:hAnsiTheme="minorHAnsi"/>
        </w:rPr>
      </w:pPr>
      <w:r w:rsidRPr="005537E4">
        <w:rPr>
          <w:rFonts w:asciiTheme="minorHAnsi" w:hAnsiTheme="minorHAnsi"/>
        </w:rPr>
        <w:t>iv) Assessment of travel demand model understanding of market segments and travel patterns relative to the on-board survey records</w:t>
      </w:r>
    </w:p>
    <w:p w:rsidR="00256799" w:rsidRPr="005537E4" w:rsidRDefault="00256799" w:rsidP="00256799">
      <w:pPr>
        <w:rPr>
          <w:rFonts w:asciiTheme="minorHAnsi" w:hAnsiTheme="minorHAnsi"/>
        </w:rPr>
      </w:pPr>
    </w:p>
    <w:p w:rsidR="00256799" w:rsidRPr="005537E4" w:rsidRDefault="00256799" w:rsidP="00256799">
      <w:pPr>
        <w:rPr>
          <w:b/>
        </w:rPr>
      </w:pPr>
      <w:r w:rsidRPr="005537E4">
        <w:rPr>
          <w:b/>
        </w:rPr>
        <w:t xml:space="preserve">Section 3: Emissions Modeling Assumptions </w:t>
      </w:r>
    </w:p>
    <w:p w:rsidR="00256799" w:rsidRPr="005537E4" w:rsidRDefault="00256799" w:rsidP="00256799">
      <w:pPr>
        <w:numPr>
          <w:ilvl w:val="0"/>
          <w:numId w:val="17"/>
        </w:numPr>
        <w:spacing w:after="0" w:line="240" w:lineRule="auto"/>
      </w:pPr>
      <w:r w:rsidRPr="005537E4">
        <w:t>Emissions Factor Model: MOBILE6.2.03</w:t>
      </w:r>
    </w:p>
    <w:p w:rsidR="00256799" w:rsidRPr="005537E4" w:rsidRDefault="00256799" w:rsidP="00256799">
      <w:pPr>
        <w:numPr>
          <w:ilvl w:val="0"/>
          <w:numId w:val="17"/>
        </w:numPr>
        <w:spacing w:after="0" w:line="240" w:lineRule="auto"/>
        <w:rPr>
          <w:rFonts w:ascii="Times New Roman" w:hAnsi="Times New Roman"/>
        </w:rPr>
      </w:pPr>
      <w:r w:rsidRPr="005537E4">
        <w:t>PM2.5 Standard MOBILE6.2.03 Inputs (13-county portion)</w:t>
      </w:r>
      <w:r w:rsidRPr="005537E4">
        <w:rPr>
          <w:rStyle w:val="FootnoteReference"/>
        </w:rPr>
        <w:footnoteReference w:id="8"/>
      </w:r>
    </w:p>
    <w:p w:rsidR="00256799" w:rsidRPr="005537E4" w:rsidRDefault="00256799" w:rsidP="00256799">
      <w:pPr>
        <w:pStyle w:val="NoSpacing"/>
        <w:rPr>
          <w:rFonts w:ascii="Times New Roman" w:hAnsi="Times New Roman"/>
        </w:rPr>
      </w:pPr>
      <w:r w:rsidRPr="005537E4">
        <w:t>Annual averages of the hourly average temperature and relative humidity for each hour of each month; and annual average of the daily average barometric pressure for each month; 2000 – 2002</w:t>
      </w:r>
    </w:p>
    <w:p w:rsidR="00256799" w:rsidRPr="005537E4" w:rsidRDefault="00256799" w:rsidP="00256799">
      <w:pPr>
        <w:numPr>
          <w:ilvl w:val="1"/>
          <w:numId w:val="17"/>
        </w:numPr>
        <w:spacing w:after="0" w:line="240" w:lineRule="auto"/>
      </w:pPr>
      <w:r w:rsidRPr="005537E4">
        <w:t>Stage II refueling</w:t>
      </w:r>
    </w:p>
    <w:p w:rsidR="00256799" w:rsidRPr="005537E4" w:rsidRDefault="00256799" w:rsidP="00256799">
      <w:pPr>
        <w:numPr>
          <w:ilvl w:val="2"/>
          <w:numId w:val="17"/>
        </w:numPr>
        <w:spacing w:after="0" w:line="240" w:lineRule="auto"/>
      </w:pPr>
      <w:r w:rsidRPr="005537E4">
        <w:t>Started in 1992</w:t>
      </w:r>
    </w:p>
    <w:p w:rsidR="00256799" w:rsidRPr="005537E4" w:rsidRDefault="00256799" w:rsidP="00256799">
      <w:pPr>
        <w:numPr>
          <w:ilvl w:val="2"/>
          <w:numId w:val="17"/>
        </w:numPr>
        <w:spacing w:after="0" w:line="240" w:lineRule="auto"/>
      </w:pPr>
      <w:r w:rsidRPr="005537E4">
        <w:t>Three phase in years</w:t>
      </w:r>
    </w:p>
    <w:p w:rsidR="00256799" w:rsidRPr="005537E4" w:rsidRDefault="00256799" w:rsidP="00256799">
      <w:pPr>
        <w:numPr>
          <w:ilvl w:val="2"/>
          <w:numId w:val="17"/>
        </w:numPr>
        <w:spacing w:after="0" w:line="240" w:lineRule="auto"/>
      </w:pPr>
      <w:r w:rsidRPr="005537E4">
        <w:t>81% efficiency</w:t>
      </w:r>
    </w:p>
    <w:p w:rsidR="00256799" w:rsidRPr="005537E4" w:rsidRDefault="00256799" w:rsidP="00256799">
      <w:pPr>
        <w:numPr>
          <w:ilvl w:val="1"/>
          <w:numId w:val="17"/>
        </w:numPr>
        <w:spacing w:after="0" w:line="240" w:lineRule="auto"/>
      </w:pPr>
      <w:r w:rsidRPr="005537E4">
        <w:t>Anti-tampering program</w:t>
      </w:r>
    </w:p>
    <w:p w:rsidR="00256799" w:rsidRPr="005537E4" w:rsidRDefault="00256799" w:rsidP="00256799">
      <w:pPr>
        <w:numPr>
          <w:ilvl w:val="2"/>
          <w:numId w:val="17"/>
        </w:numPr>
        <w:spacing w:after="0" w:line="240" w:lineRule="auto"/>
      </w:pPr>
      <w:r w:rsidRPr="005537E4">
        <w:t>Started in 1982</w:t>
      </w:r>
    </w:p>
    <w:p w:rsidR="00256799" w:rsidRPr="005537E4" w:rsidRDefault="00256799" w:rsidP="00256799">
      <w:pPr>
        <w:numPr>
          <w:ilvl w:val="2"/>
          <w:numId w:val="17"/>
        </w:numPr>
        <w:spacing w:after="0" w:line="240" w:lineRule="auto"/>
      </w:pPr>
      <w:r w:rsidRPr="005537E4">
        <w:t>Covers model years 1975 – 1995</w:t>
      </w:r>
    </w:p>
    <w:p w:rsidR="00256799" w:rsidRPr="005537E4" w:rsidRDefault="00256799" w:rsidP="00256799">
      <w:pPr>
        <w:numPr>
          <w:ilvl w:val="2"/>
          <w:numId w:val="17"/>
        </w:numPr>
        <w:spacing w:after="0" w:line="240" w:lineRule="auto"/>
      </w:pPr>
      <w:r w:rsidRPr="005537E4">
        <w:t>All LDG vehicle types are covered</w:t>
      </w:r>
    </w:p>
    <w:p w:rsidR="00256799" w:rsidRPr="005537E4" w:rsidRDefault="00256799" w:rsidP="00256799">
      <w:pPr>
        <w:numPr>
          <w:ilvl w:val="2"/>
          <w:numId w:val="17"/>
        </w:numPr>
        <w:spacing w:after="0" w:line="240" w:lineRule="auto"/>
      </w:pPr>
      <w:r w:rsidRPr="005537E4">
        <w:t>Annual program</w:t>
      </w:r>
    </w:p>
    <w:p w:rsidR="00256799" w:rsidRPr="005537E4" w:rsidRDefault="00256799" w:rsidP="00256799">
      <w:pPr>
        <w:numPr>
          <w:ilvl w:val="2"/>
          <w:numId w:val="17"/>
        </w:numPr>
        <w:spacing w:after="0" w:line="240" w:lineRule="auto"/>
      </w:pPr>
      <w:r w:rsidRPr="005537E4">
        <w:t>97% compliance</w:t>
      </w:r>
    </w:p>
    <w:p w:rsidR="00256799" w:rsidRPr="005537E4" w:rsidRDefault="00256799" w:rsidP="00256799">
      <w:pPr>
        <w:numPr>
          <w:ilvl w:val="2"/>
          <w:numId w:val="17"/>
        </w:numPr>
        <w:spacing w:after="0" w:line="240" w:lineRule="auto"/>
      </w:pPr>
      <w:r w:rsidRPr="005537E4">
        <w:t>Catalyst removal only</w:t>
      </w:r>
    </w:p>
    <w:p w:rsidR="00256799" w:rsidRPr="005537E4" w:rsidRDefault="00256799" w:rsidP="00256799">
      <w:pPr>
        <w:numPr>
          <w:ilvl w:val="1"/>
          <w:numId w:val="17"/>
        </w:numPr>
        <w:spacing w:after="0" w:line="240" w:lineRule="auto"/>
      </w:pPr>
      <w:r w:rsidRPr="005537E4">
        <w:t>I/M Program</w:t>
      </w:r>
    </w:p>
    <w:p w:rsidR="00256799" w:rsidRPr="005537E4" w:rsidRDefault="00256799" w:rsidP="00256799">
      <w:pPr>
        <w:numPr>
          <w:ilvl w:val="2"/>
          <w:numId w:val="17"/>
        </w:numPr>
        <w:spacing w:after="0" w:line="240" w:lineRule="auto"/>
      </w:pPr>
      <w:r w:rsidRPr="005537E4">
        <w:t>Exhaust and Evaporative (OBD and gas cap pressure test) for 1996 and newer vehicles</w:t>
      </w:r>
    </w:p>
    <w:p w:rsidR="00256799" w:rsidRPr="005537E4" w:rsidRDefault="00256799" w:rsidP="00256799">
      <w:pPr>
        <w:numPr>
          <w:ilvl w:val="3"/>
          <w:numId w:val="17"/>
        </w:numPr>
        <w:spacing w:after="0" w:line="240" w:lineRule="auto"/>
      </w:pPr>
      <w:r w:rsidRPr="005537E4">
        <w:t>Began in 1982</w:t>
      </w:r>
    </w:p>
    <w:p w:rsidR="00256799" w:rsidRPr="005537E4" w:rsidRDefault="00256799" w:rsidP="00256799">
      <w:pPr>
        <w:numPr>
          <w:ilvl w:val="3"/>
          <w:numId w:val="17"/>
        </w:numPr>
        <w:spacing w:after="0" w:line="240" w:lineRule="auto"/>
      </w:pPr>
      <w:r w:rsidRPr="005537E4">
        <w:t>Annual inspection required</w:t>
      </w:r>
    </w:p>
    <w:p w:rsidR="00256799" w:rsidRPr="005537E4" w:rsidRDefault="00256799" w:rsidP="00256799">
      <w:pPr>
        <w:numPr>
          <w:ilvl w:val="3"/>
          <w:numId w:val="17"/>
        </w:numPr>
        <w:spacing w:after="0" w:line="240" w:lineRule="auto"/>
      </w:pPr>
      <w:r w:rsidRPr="005537E4">
        <w:t>Computerized test and repair OBD – Exhaust</w:t>
      </w:r>
    </w:p>
    <w:p w:rsidR="00256799" w:rsidRPr="005537E4" w:rsidRDefault="00256799" w:rsidP="00256799">
      <w:pPr>
        <w:numPr>
          <w:ilvl w:val="3"/>
          <w:numId w:val="17"/>
        </w:numPr>
        <w:spacing w:after="0" w:line="240" w:lineRule="auto"/>
      </w:pPr>
      <w:r w:rsidRPr="005537E4">
        <w:t>Computerized test and repair OBD &amp; GC - Evaporative</w:t>
      </w:r>
    </w:p>
    <w:p w:rsidR="00256799" w:rsidRPr="005537E4" w:rsidRDefault="00256799" w:rsidP="00256799">
      <w:pPr>
        <w:numPr>
          <w:ilvl w:val="3"/>
          <w:numId w:val="17"/>
        </w:numPr>
        <w:spacing w:after="0" w:line="240" w:lineRule="auto"/>
      </w:pPr>
      <w:r w:rsidRPr="005537E4">
        <w:t>Applies to all LDG vehicle types</w:t>
      </w:r>
    </w:p>
    <w:p w:rsidR="00256799" w:rsidRPr="005537E4" w:rsidRDefault="00256799" w:rsidP="00256799">
      <w:pPr>
        <w:numPr>
          <w:ilvl w:val="3"/>
          <w:numId w:val="17"/>
        </w:numPr>
        <w:spacing w:after="0" w:line="240" w:lineRule="auto"/>
      </w:pPr>
      <w:r w:rsidRPr="005537E4">
        <w:t>Three year grace period</w:t>
      </w:r>
    </w:p>
    <w:p w:rsidR="00256799" w:rsidRPr="005537E4" w:rsidRDefault="00256799" w:rsidP="00256799">
      <w:pPr>
        <w:numPr>
          <w:ilvl w:val="3"/>
          <w:numId w:val="17"/>
        </w:numPr>
        <w:spacing w:after="0" w:line="240" w:lineRule="auto"/>
      </w:pPr>
      <w:r w:rsidRPr="005537E4">
        <w:t>3% waiver rate for all vehicles – Exhaust test</w:t>
      </w:r>
    </w:p>
    <w:p w:rsidR="00256799" w:rsidRPr="005537E4" w:rsidRDefault="00256799" w:rsidP="00256799">
      <w:pPr>
        <w:numPr>
          <w:ilvl w:val="3"/>
          <w:numId w:val="17"/>
        </w:numPr>
        <w:spacing w:after="0" w:line="240" w:lineRule="auto"/>
      </w:pPr>
      <w:r w:rsidRPr="005537E4">
        <w:t>0% waiver rate for all vehicles – Evaporative test</w:t>
      </w:r>
    </w:p>
    <w:p w:rsidR="00256799" w:rsidRPr="005537E4" w:rsidRDefault="00256799" w:rsidP="00256799">
      <w:pPr>
        <w:numPr>
          <w:ilvl w:val="3"/>
          <w:numId w:val="17"/>
        </w:numPr>
        <w:spacing w:after="0" w:line="240" w:lineRule="auto"/>
      </w:pPr>
      <w:r w:rsidRPr="005537E4">
        <w:t>97% compliance</w:t>
      </w:r>
    </w:p>
    <w:p w:rsidR="00256799" w:rsidRPr="005537E4" w:rsidRDefault="00256799" w:rsidP="00256799">
      <w:pPr>
        <w:numPr>
          <w:ilvl w:val="2"/>
          <w:numId w:val="17"/>
        </w:numPr>
        <w:spacing w:after="0" w:line="240" w:lineRule="auto"/>
      </w:pPr>
      <w:r w:rsidRPr="005537E4">
        <w:t>Exhaust and Evaporative test for 1975 – 1995 vehicles</w:t>
      </w:r>
    </w:p>
    <w:p w:rsidR="00256799" w:rsidRPr="005537E4" w:rsidRDefault="00256799" w:rsidP="00256799">
      <w:pPr>
        <w:numPr>
          <w:ilvl w:val="3"/>
          <w:numId w:val="17"/>
        </w:numPr>
        <w:spacing w:after="0" w:line="240" w:lineRule="auto"/>
      </w:pPr>
      <w:r w:rsidRPr="005537E4">
        <w:t>Began in 1982</w:t>
      </w:r>
    </w:p>
    <w:p w:rsidR="00256799" w:rsidRPr="005537E4" w:rsidRDefault="00256799" w:rsidP="00256799">
      <w:pPr>
        <w:numPr>
          <w:ilvl w:val="3"/>
          <w:numId w:val="17"/>
        </w:numPr>
        <w:spacing w:after="0" w:line="240" w:lineRule="auto"/>
      </w:pPr>
      <w:r w:rsidRPr="005537E4">
        <w:t>Annual inspection required</w:t>
      </w:r>
    </w:p>
    <w:p w:rsidR="00256799" w:rsidRPr="005537E4" w:rsidRDefault="00256799" w:rsidP="00256799">
      <w:pPr>
        <w:numPr>
          <w:ilvl w:val="3"/>
          <w:numId w:val="17"/>
        </w:numPr>
        <w:spacing w:after="0" w:line="240" w:lineRule="auto"/>
      </w:pPr>
      <w:r w:rsidRPr="005537E4">
        <w:t>Computerized test and repair ASM 2525/5015 Phase-in – Exhaust</w:t>
      </w:r>
    </w:p>
    <w:p w:rsidR="00256799" w:rsidRPr="005537E4" w:rsidRDefault="00256799" w:rsidP="00256799">
      <w:pPr>
        <w:numPr>
          <w:ilvl w:val="3"/>
          <w:numId w:val="17"/>
        </w:numPr>
        <w:spacing w:after="0" w:line="240" w:lineRule="auto"/>
      </w:pPr>
      <w:r w:rsidRPr="005537E4">
        <w:t>Computerized test and repair GC – Evaporative</w:t>
      </w:r>
    </w:p>
    <w:p w:rsidR="00256799" w:rsidRPr="005537E4" w:rsidRDefault="00256799" w:rsidP="00256799">
      <w:pPr>
        <w:numPr>
          <w:ilvl w:val="3"/>
          <w:numId w:val="17"/>
        </w:numPr>
        <w:spacing w:after="0" w:line="240" w:lineRule="auto"/>
      </w:pPr>
      <w:r w:rsidRPr="005537E4">
        <w:t>Applies to all LDG vehicle types</w:t>
      </w:r>
    </w:p>
    <w:p w:rsidR="00256799" w:rsidRPr="005537E4" w:rsidRDefault="00256799" w:rsidP="00256799">
      <w:pPr>
        <w:numPr>
          <w:ilvl w:val="3"/>
          <w:numId w:val="17"/>
        </w:numPr>
        <w:spacing w:after="0" w:line="240" w:lineRule="auto"/>
      </w:pPr>
      <w:r w:rsidRPr="005537E4">
        <w:t>3% waiver rate for all vehicles – Exhaust</w:t>
      </w:r>
    </w:p>
    <w:p w:rsidR="00256799" w:rsidRPr="005537E4" w:rsidRDefault="00256799" w:rsidP="00256799">
      <w:pPr>
        <w:numPr>
          <w:ilvl w:val="3"/>
          <w:numId w:val="17"/>
        </w:numPr>
        <w:spacing w:after="0" w:line="240" w:lineRule="auto"/>
      </w:pPr>
      <w:r w:rsidRPr="005537E4">
        <w:t>0% waiver rate for all vehicles – Evaporative</w:t>
      </w:r>
    </w:p>
    <w:p w:rsidR="00256799" w:rsidRPr="005537E4" w:rsidRDefault="00256799" w:rsidP="00256799">
      <w:pPr>
        <w:numPr>
          <w:ilvl w:val="3"/>
          <w:numId w:val="17"/>
        </w:numPr>
        <w:spacing w:after="0" w:line="240" w:lineRule="auto"/>
      </w:pPr>
      <w:r w:rsidRPr="005537E4">
        <w:t>97% compliance</w:t>
      </w:r>
    </w:p>
    <w:p w:rsidR="00256799" w:rsidRPr="005537E4" w:rsidRDefault="00256799" w:rsidP="00256799">
      <w:pPr>
        <w:numPr>
          <w:ilvl w:val="3"/>
          <w:numId w:val="17"/>
        </w:numPr>
        <w:spacing w:after="0" w:line="240" w:lineRule="auto"/>
      </w:pPr>
      <w:r w:rsidRPr="005537E4">
        <w:t>25 year and older model years are exempt</w:t>
      </w:r>
    </w:p>
    <w:p w:rsidR="00256799" w:rsidRPr="005537E4" w:rsidRDefault="00256799" w:rsidP="00256799">
      <w:pPr>
        <w:numPr>
          <w:ilvl w:val="1"/>
          <w:numId w:val="17"/>
        </w:numPr>
        <w:spacing w:after="0" w:line="240" w:lineRule="auto"/>
      </w:pPr>
      <w:r w:rsidRPr="005537E4">
        <w:t>Fuel</w:t>
      </w:r>
      <w:r w:rsidRPr="005537E4">
        <w:rPr>
          <w:rStyle w:val="FootnoteReference"/>
        </w:rPr>
        <w:footnoteReference w:id="9"/>
      </w:r>
    </w:p>
    <w:p w:rsidR="00256799" w:rsidRPr="005537E4" w:rsidRDefault="00256799" w:rsidP="00256799">
      <w:pPr>
        <w:numPr>
          <w:ilvl w:val="2"/>
          <w:numId w:val="17"/>
        </w:numPr>
        <w:spacing w:after="0" w:line="240" w:lineRule="auto"/>
      </w:pPr>
      <w:r w:rsidRPr="005537E4">
        <w:t>2002 Base Year:  Annual average sulfur and Reid Vapor Pressure (RVP) based on caps in Georgia's Low Sulfur, Low RVP gasoline marketing rule (June – September) and on the monthly sulfur and RVP values in USEPA's National Mobile Inventory Model (NMIM)</w:t>
      </w:r>
      <w:r w:rsidRPr="005537E4">
        <w:rPr>
          <w:rStyle w:val="FootnoteReference"/>
        </w:rPr>
        <w:footnoteReference w:id="10"/>
      </w:r>
      <w:r w:rsidRPr="005537E4">
        <w:t xml:space="preserve"> database (October – May) </w:t>
      </w:r>
    </w:p>
    <w:p w:rsidR="00256799" w:rsidRPr="005537E4" w:rsidRDefault="00256799" w:rsidP="00256799">
      <w:pPr>
        <w:numPr>
          <w:ilvl w:val="2"/>
          <w:numId w:val="17"/>
        </w:numPr>
        <w:spacing w:after="0" w:line="240" w:lineRule="auto"/>
      </w:pPr>
      <w:r w:rsidRPr="005537E4">
        <w:t xml:space="preserve">2010 and later:  Phase 2 Low Sulfur (30ppm) Georgia Gasoline year-round; annual average RVP based on caps in Georgia’s gasoline marketing rule (June-September) and on the monthly RVP values in the NMIM database (October-May) </w:t>
      </w:r>
    </w:p>
    <w:p w:rsidR="00256799" w:rsidRPr="005537E4" w:rsidRDefault="00256799" w:rsidP="00256799">
      <w:pPr>
        <w:numPr>
          <w:ilvl w:val="2"/>
          <w:numId w:val="17"/>
        </w:numPr>
        <w:spacing w:after="0" w:line="240" w:lineRule="auto"/>
      </w:pPr>
      <w:r w:rsidRPr="005537E4">
        <w:t>Diesel sulfur:  average of the monthly values in USEPA's NMIM database for each analysis year</w:t>
      </w:r>
    </w:p>
    <w:p w:rsidR="00256799" w:rsidRPr="005537E4" w:rsidRDefault="00256799" w:rsidP="00256799">
      <w:pPr>
        <w:numPr>
          <w:ilvl w:val="1"/>
          <w:numId w:val="17"/>
        </w:numPr>
        <w:spacing w:after="0" w:line="240" w:lineRule="auto"/>
      </w:pPr>
      <w:r w:rsidRPr="005537E4">
        <w:t>2002 regional fleet age distribution</w:t>
      </w:r>
    </w:p>
    <w:p w:rsidR="00256799" w:rsidRPr="005537E4" w:rsidRDefault="00256799" w:rsidP="00256799">
      <w:pPr>
        <w:numPr>
          <w:ilvl w:val="2"/>
          <w:numId w:val="17"/>
        </w:numPr>
        <w:spacing w:after="0" w:line="240" w:lineRule="auto"/>
      </w:pPr>
      <w:r w:rsidRPr="005537E4">
        <w:t>Derived from R.L. Polk &amp; Co. registration data for 13-county area</w:t>
      </w:r>
    </w:p>
    <w:p w:rsidR="00256799" w:rsidRPr="005537E4" w:rsidRDefault="00256799" w:rsidP="00256799">
      <w:pPr>
        <w:numPr>
          <w:ilvl w:val="2"/>
          <w:numId w:val="17"/>
        </w:numPr>
        <w:spacing w:after="0" w:line="240" w:lineRule="auto"/>
      </w:pPr>
      <w:r w:rsidRPr="005537E4">
        <w:t>Applied to 15 of the 16 MOBILE6.2.03 composite vehicle classifications – LDV, LDT1, LDT2, LDT3, LDT4, HDV2B, HDV3, HDV4, HDV5, HDV6, HDV7, HDV8, HDBS, HDBT, MC</w:t>
      </w:r>
    </w:p>
    <w:p w:rsidR="00256799" w:rsidRPr="005537E4" w:rsidRDefault="00256799" w:rsidP="00256799">
      <w:pPr>
        <w:pStyle w:val="NoSpacing"/>
        <w:numPr>
          <w:ilvl w:val="0"/>
          <w:numId w:val="19"/>
        </w:numPr>
      </w:pPr>
      <w:r w:rsidRPr="005537E4">
        <w:t>Default for HDV8B</w:t>
      </w:r>
    </w:p>
    <w:p w:rsidR="00256799" w:rsidRPr="005537E4" w:rsidRDefault="00256799" w:rsidP="00256799">
      <w:pPr>
        <w:pStyle w:val="NoSpacing"/>
        <w:numPr>
          <w:ilvl w:val="0"/>
          <w:numId w:val="19"/>
        </w:numPr>
        <w:rPr>
          <w:rFonts w:ascii="Times New Roman" w:hAnsi="Times New Roman"/>
        </w:rPr>
      </w:pPr>
      <w:r w:rsidRPr="005537E4">
        <w:t>Default VMT fractions</w:t>
      </w:r>
    </w:p>
    <w:p w:rsidR="00256799" w:rsidRPr="005537E4" w:rsidRDefault="00256799" w:rsidP="00256799">
      <w:pPr>
        <w:pStyle w:val="NoSpacing"/>
        <w:ind w:left="1440"/>
        <w:rPr>
          <w:rFonts w:ascii="Times New Roman" w:hAnsi="Times New Roman"/>
        </w:rPr>
      </w:pPr>
    </w:p>
    <w:p w:rsidR="00256799" w:rsidRPr="005537E4" w:rsidRDefault="00256799" w:rsidP="00256799">
      <w:pPr>
        <w:pStyle w:val="NoSpacing"/>
      </w:pPr>
      <w:r w:rsidRPr="005537E4">
        <w:t>3)   PM2.5 Standard MOBILE6.2.03 Inputs (7-county and partial-county portions)</w:t>
      </w:r>
    </w:p>
    <w:p w:rsidR="00256799" w:rsidRPr="005537E4" w:rsidRDefault="00256799" w:rsidP="00256799">
      <w:pPr>
        <w:numPr>
          <w:ilvl w:val="1"/>
          <w:numId w:val="5"/>
        </w:numPr>
        <w:spacing w:after="0" w:line="240" w:lineRule="auto"/>
      </w:pPr>
      <w:r w:rsidRPr="005537E4">
        <w:t>Annual averages of the hourly average temperature and relative humidity for each hour of each month; and annual average of the daily average barometric pressure for each month; 2000 – 2002</w:t>
      </w:r>
    </w:p>
    <w:p w:rsidR="00256799" w:rsidRPr="005537E4" w:rsidRDefault="00256799" w:rsidP="00256799">
      <w:pPr>
        <w:numPr>
          <w:ilvl w:val="1"/>
          <w:numId w:val="5"/>
        </w:numPr>
        <w:spacing w:after="0" w:line="240" w:lineRule="auto"/>
      </w:pPr>
      <w:r w:rsidRPr="005537E4">
        <w:t>No Stage II refueling</w:t>
      </w:r>
    </w:p>
    <w:p w:rsidR="00256799" w:rsidRPr="005537E4" w:rsidRDefault="00256799" w:rsidP="00256799">
      <w:pPr>
        <w:numPr>
          <w:ilvl w:val="1"/>
          <w:numId w:val="5"/>
        </w:numPr>
        <w:spacing w:after="0" w:line="240" w:lineRule="auto"/>
      </w:pPr>
      <w:r w:rsidRPr="005537E4">
        <w:t>No anti-tampering program</w:t>
      </w:r>
    </w:p>
    <w:p w:rsidR="00256799" w:rsidRPr="005537E4" w:rsidRDefault="00256799" w:rsidP="00256799">
      <w:pPr>
        <w:numPr>
          <w:ilvl w:val="1"/>
          <w:numId w:val="5"/>
        </w:numPr>
        <w:spacing w:after="0" w:line="240" w:lineRule="auto"/>
      </w:pPr>
      <w:r w:rsidRPr="005537E4">
        <w:t>No I/M program</w:t>
      </w:r>
    </w:p>
    <w:p w:rsidR="00256799" w:rsidRPr="005537E4" w:rsidRDefault="00256799" w:rsidP="00256799">
      <w:pPr>
        <w:numPr>
          <w:ilvl w:val="1"/>
          <w:numId w:val="5"/>
        </w:numPr>
        <w:spacing w:after="0" w:line="240" w:lineRule="auto"/>
      </w:pPr>
      <w:r w:rsidRPr="005537E4">
        <w:t>Fuel</w:t>
      </w:r>
    </w:p>
    <w:p w:rsidR="00256799" w:rsidRPr="005537E4" w:rsidRDefault="00256799" w:rsidP="00256799">
      <w:pPr>
        <w:numPr>
          <w:ilvl w:val="2"/>
          <w:numId w:val="5"/>
        </w:numPr>
        <w:spacing w:after="0" w:line="240" w:lineRule="auto"/>
      </w:pPr>
      <w:r w:rsidRPr="005537E4">
        <w:t>2002 Base Year</w:t>
      </w:r>
      <w:r w:rsidRPr="005537E4">
        <w:rPr>
          <w:rStyle w:val="FootnoteReference"/>
        </w:rPr>
        <w:footnoteReference w:id="11"/>
      </w:r>
      <w:r w:rsidRPr="005537E4">
        <w:t xml:space="preserve">:  Annual average sulfur and RVP based on caps in Georgia's Low Sulfur, Low RVP gasoline marketing rule (June – September) and on the monthly sulfur and RVP values in USEPA's NMIM database (October – May) </w:t>
      </w:r>
    </w:p>
    <w:p w:rsidR="00256799" w:rsidRPr="005537E4" w:rsidRDefault="00256799" w:rsidP="00256799">
      <w:pPr>
        <w:numPr>
          <w:ilvl w:val="2"/>
          <w:numId w:val="5"/>
        </w:numPr>
        <w:spacing w:after="0" w:line="240" w:lineRule="auto"/>
      </w:pPr>
      <w:r w:rsidRPr="005537E4">
        <w:t>2010 and later:  Phase 2 Low Sulfur (30ppm) Georgia Gasoline year-round; annual average RVP based on caps in Georgia’s gasoline marketing rule (June-September) and on the monthly RVP values in the NMIM database (October-May)</w:t>
      </w:r>
    </w:p>
    <w:p w:rsidR="00256799" w:rsidRPr="005537E4" w:rsidRDefault="00256799" w:rsidP="00256799">
      <w:pPr>
        <w:numPr>
          <w:ilvl w:val="2"/>
          <w:numId w:val="5"/>
        </w:numPr>
        <w:spacing w:after="0" w:line="240" w:lineRule="auto"/>
      </w:pPr>
      <w:r w:rsidRPr="005537E4">
        <w:t>Diesel sulfur:  average of the monthly values in USEPA's NMIM database for each analysis year</w:t>
      </w:r>
    </w:p>
    <w:p w:rsidR="00256799" w:rsidRPr="005537E4" w:rsidRDefault="00256799" w:rsidP="00256799">
      <w:pPr>
        <w:numPr>
          <w:ilvl w:val="1"/>
          <w:numId w:val="5"/>
        </w:numPr>
        <w:spacing w:after="0" w:line="240" w:lineRule="auto"/>
      </w:pPr>
      <w:r w:rsidRPr="005537E4">
        <w:t>2002 regional fleet age distribution</w:t>
      </w:r>
    </w:p>
    <w:p w:rsidR="00256799" w:rsidRPr="005537E4" w:rsidRDefault="00256799" w:rsidP="00256799">
      <w:pPr>
        <w:numPr>
          <w:ilvl w:val="2"/>
          <w:numId w:val="5"/>
        </w:numPr>
        <w:spacing w:after="0" w:line="240" w:lineRule="auto"/>
      </w:pPr>
      <w:r w:rsidRPr="005537E4">
        <w:t>Derived from R.L. Polk &amp; Co. registration data for 9 counties (Carroll, Bartow, Hall, Barrow, Walton, Newton, Spalding, Heard, and Putnam)</w:t>
      </w:r>
    </w:p>
    <w:p w:rsidR="00256799" w:rsidRPr="005537E4" w:rsidRDefault="00256799" w:rsidP="00256799">
      <w:pPr>
        <w:numPr>
          <w:ilvl w:val="2"/>
          <w:numId w:val="5"/>
        </w:numPr>
        <w:spacing w:after="0" w:line="240" w:lineRule="auto"/>
      </w:pPr>
      <w:r w:rsidRPr="005537E4">
        <w:t>Applied to 15 of the 16 MOBILE6.2 composite vehicle classifications – LDV, LDT1, LDT2, LDT3, LDT4, HDV2B, HDV3, HDV4, HDV5, HDV6, HDV7, HDV8, HDBS, HDBT, MC</w:t>
      </w:r>
    </w:p>
    <w:p w:rsidR="00256799" w:rsidRPr="005537E4" w:rsidRDefault="00256799" w:rsidP="00256799">
      <w:pPr>
        <w:numPr>
          <w:ilvl w:val="3"/>
          <w:numId w:val="5"/>
        </w:numPr>
        <w:spacing w:after="0" w:line="240" w:lineRule="auto"/>
      </w:pPr>
      <w:r w:rsidRPr="005537E4">
        <w:t xml:space="preserve">Default for HDV8B     </w:t>
      </w:r>
    </w:p>
    <w:p w:rsidR="00256799" w:rsidRPr="005537E4" w:rsidRDefault="00256799" w:rsidP="00256799">
      <w:pPr>
        <w:numPr>
          <w:ilvl w:val="3"/>
          <w:numId w:val="5"/>
        </w:numPr>
        <w:spacing w:after="0" w:line="240" w:lineRule="auto"/>
        <w:rPr>
          <w:rFonts w:ascii="Times New Roman" w:hAnsi="Times New Roman"/>
        </w:rPr>
      </w:pPr>
      <w:r w:rsidRPr="005537E4">
        <w:t>Default VMT fractions</w:t>
      </w:r>
    </w:p>
    <w:p w:rsidR="00256799" w:rsidRPr="005537E4" w:rsidRDefault="00256799" w:rsidP="00256799">
      <w:pPr>
        <w:spacing w:after="0" w:line="240" w:lineRule="auto"/>
        <w:ind w:left="1440"/>
        <w:rPr>
          <w:rFonts w:ascii="Times New Roman" w:hAnsi="Times New Roman"/>
        </w:rPr>
      </w:pPr>
    </w:p>
    <w:p w:rsidR="00256799" w:rsidRPr="005537E4" w:rsidRDefault="00256799" w:rsidP="00256799">
      <w:pPr>
        <w:numPr>
          <w:ilvl w:val="0"/>
          <w:numId w:val="18"/>
        </w:numPr>
        <w:spacing w:after="0" w:line="240" w:lineRule="auto"/>
      </w:pPr>
      <w:r w:rsidRPr="005537E4">
        <w:t xml:space="preserve">VMT adjustment factors </w:t>
      </w:r>
    </w:p>
    <w:p w:rsidR="00256799" w:rsidRPr="005537E4" w:rsidRDefault="00256799" w:rsidP="00256799">
      <w:pPr>
        <w:numPr>
          <w:ilvl w:val="1"/>
          <w:numId w:val="18"/>
        </w:numPr>
        <w:spacing w:after="0" w:line="240" w:lineRule="auto"/>
      </w:pPr>
      <w:r w:rsidRPr="005537E4">
        <w:t xml:space="preserve">Calculated for year 2000 </w:t>
      </w:r>
    </w:p>
    <w:p w:rsidR="00256799" w:rsidRPr="005537E4" w:rsidRDefault="00256799" w:rsidP="00256799">
      <w:pPr>
        <w:numPr>
          <w:ilvl w:val="2"/>
          <w:numId w:val="18"/>
        </w:numPr>
        <w:spacing w:after="0" w:line="240" w:lineRule="auto"/>
      </w:pPr>
      <w:r w:rsidRPr="005537E4">
        <w:t xml:space="preserve">Reflects Section 93.122(b)(3) of the Transportation Conformity Rule which recommends that HPMS adjustment factors be developed to reconcile travel model estimates of VMT in base year of validation to HPMS estimates for the same period.  </w:t>
      </w:r>
    </w:p>
    <w:p w:rsidR="00256799" w:rsidRPr="005537E4" w:rsidRDefault="00256799" w:rsidP="00256799">
      <w:pPr>
        <w:numPr>
          <w:ilvl w:val="2"/>
          <w:numId w:val="18"/>
        </w:numPr>
        <w:spacing w:after="0" w:line="240" w:lineRule="auto"/>
        <w:rPr>
          <w:rFonts w:ascii="Times New Roman" w:hAnsi="Times New Roman"/>
        </w:rPr>
      </w:pPr>
      <w:r w:rsidRPr="005537E4">
        <w:t>Factors applied to VMT estimates generated by ARC travel demand model for 13-county portion and 7-county portion of 20-county modeling domain, separately.</w:t>
      </w:r>
    </w:p>
    <w:p w:rsidR="00256799" w:rsidRPr="005537E4" w:rsidRDefault="00256799" w:rsidP="00256799">
      <w:pPr>
        <w:rPr>
          <w:rFonts w:asciiTheme="minorHAnsi" w:hAnsiTheme="minorHAnsi"/>
        </w:rPr>
      </w:pPr>
    </w:p>
    <w:p w:rsidR="005769A0" w:rsidRDefault="005769A0" w:rsidP="00256799">
      <w:pPr>
        <w:jc w:val="center"/>
        <w:rPr>
          <w:rFonts w:asciiTheme="minorHAnsi" w:hAnsiTheme="minorHAnsi"/>
          <w:b/>
        </w:rPr>
      </w:pPr>
    </w:p>
    <w:p w:rsidR="005769A0" w:rsidRDefault="005769A0" w:rsidP="00256799">
      <w:pPr>
        <w:jc w:val="center"/>
        <w:rPr>
          <w:rFonts w:asciiTheme="minorHAnsi" w:hAnsiTheme="minorHAnsi"/>
          <w:b/>
        </w:rPr>
      </w:pPr>
    </w:p>
    <w:p w:rsidR="00256799" w:rsidRPr="005537E4" w:rsidRDefault="00256799" w:rsidP="00256799">
      <w:pPr>
        <w:jc w:val="center"/>
        <w:rPr>
          <w:rFonts w:asciiTheme="minorHAnsi" w:hAnsiTheme="minorHAnsi"/>
        </w:rPr>
      </w:pPr>
      <w:r w:rsidRPr="005537E4">
        <w:rPr>
          <w:rFonts w:asciiTheme="minorHAnsi" w:hAnsiTheme="minorHAnsi"/>
          <w:b/>
        </w:rPr>
        <w:t>VMT Adjustment Factors</w:t>
      </w:r>
    </w:p>
    <w:tbl>
      <w:tblPr>
        <w:tblW w:w="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8"/>
        <w:gridCol w:w="1501"/>
        <w:gridCol w:w="1671"/>
      </w:tblGrid>
      <w:tr w:rsidR="00256799" w:rsidRPr="005537E4" w:rsidTr="00B52189">
        <w:trPr>
          <w:trHeight w:val="638"/>
          <w:jc w:val="center"/>
        </w:trPr>
        <w:tc>
          <w:tcPr>
            <w:tcW w:w="29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256799" w:rsidRPr="005537E4" w:rsidRDefault="00256799" w:rsidP="00B52189">
            <w:pPr>
              <w:spacing w:after="0"/>
              <w:jc w:val="center"/>
              <w:rPr>
                <w:rFonts w:asciiTheme="minorHAnsi" w:hAnsiTheme="minorHAnsi"/>
                <w:b/>
              </w:rPr>
            </w:pPr>
            <w:r w:rsidRPr="005537E4">
              <w:rPr>
                <w:rFonts w:asciiTheme="minorHAnsi" w:hAnsiTheme="minorHAnsi"/>
                <w:b/>
              </w:rPr>
              <w:t>Functional Class Name</w:t>
            </w:r>
          </w:p>
        </w:tc>
        <w:tc>
          <w:tcPr>
            <w:tcW w:w="15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256799" w:rsidRPr="005537E4" w:rsidRDefault="00256799" w:rsidP="00B52189">
            <w:pPr>
              <w:spacing w:after="0"/>
              <w:jc w:val="center"/>
              <w:rPr>
                <w:rFonts w:asciiTheme="minorHAnsi" w:hAnsiTheme="minorHAnsi"/>
                <w:b/>
              </w:rPr>
            </w:pPr>
            <w:r w:rsidRPr="005537E4">
              <w:rPr>
                <w:rFonts w:asciiTheme="minorHAnsi" w:hAnsiTheme="minorHAnsi"/>
                <w:b/>
              </w:rPr>
              <w:t>Factor for 13 County Area</w:t>
            </w:r>
          </w:p>
        </w:tc>
        <w:tc>
          <w:tcPr>
            <w:tcW w:w="16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56799" w:rsidRPr="005537E4" w:rsidRDefault="00256799" w:rsidP="00B52189">
            <w:pPr>
              <w:spacing w:after="0"/>
              <w:jc w:val="center"/>
              <w:rPr>
                <w:rFonts w:asciiTheme="minorHAnsi" w:hAnsiTheme="minorHAnsi"/>
                <w:b/>
              </w:rPr>
            </w:pPr>
            <w:r w:rsidRPr="005537E4">
              <w:rPr>
                <w:rFonts w:asciiTheme="minorHAnsi" w:hAnsiTheme="minorHAnsi"/>
                <w:b/>
              </w:rPr>
              <w:t>Factor for 7 County Area</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Interstate</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0.64</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0.85</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Prin. Arterial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1.00</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0.97</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Min. Arterial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1.14</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0.97</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Major Collector</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0.87</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1.80</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Minor Collector</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1.06</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1.80</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Rural Local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0.64</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1.09</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 Interstate</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1.03</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0.85</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 Other Fwy</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2.38</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0.85</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 Prin. Arterial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0.68</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0.97</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 Min. Arterial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1.22</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0.97</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Urbanized Collector</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1.24</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1.80</w:t>
            </w:r>
          </w:p>
        </w:tc>
      </w:tr>
      <w:tr w:rsidR="00256799" w:rsidRPr="005537E4" w:rsidTr="00B52189">
        <w:trPr>
          <w:trHeight w:hRule="exact" w:val="288"/>
          <w:jc w:val="center"/>
        </w:trPr>
        <w:tc>
          <w:tcPr>
            <w:tcW w:w="2988"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Urbanized Local</w:t>
            </w:r>
          </w:p>
        </w:tc>
        <w:tc>
          <w:tcPr>
            <w:tcW w:w="1501" w:type="dxa"/>
            <w:tcBorders>
              <w:top w:val="single" w:sz="4" w:space="0" w:color="auto"/>
              <w:left w:val="single" w:sz="4" w:space="0" w:color="auto"/>
              <w:bottom w:val="single" w:sz="4" w:space="0" w:color="auto"/>
              <w:right w:val="single" w:sz="4" w:space="0" w:color="auto"/>
            </w:tcBorders>
            <w:noWrap/>
            <w:vAlign w:val="center"/>
          </w:tcPr>
          <w:p w:rsidR="00256799" w:rsidRPr="005537E4" w:rsidRDefault="00256799" w:rsidP="00B52189">
            <w:pPr>
              <w:jc w:val="center"/>
              <w:rPr>
                <w:rFonts w:asciiTheme="minorHAnsi" w:hAnsiTheme="minorHAnsi"/>
              </w:rPr>
            </w:pPr>
            <w:r w:rsidRPr="005537E4">
              <w:rPr>
                <w:rFonts w:asciiTheme="minorHAnsi" w:hAnsiTheme="minorHAnsi"/>
              </w:rPr>
              <w:t>0.97</w:t>
            </w:r>
          </w:p>
        </w:tc>
        <w:tc>
          <w:tcPr>
            <w:tcW w:w="1671" w:type="dxa"/>
            <w:tcBorders>
              <w:top w:val="single" w:sz="4" w:space="0" w:color="auto"/>
              <w:left w:val="single" w:sz="4" w:space="0" w:color="auto"/>
              <w:bottom w:val="single" w:sz="4" w:space="0" w:color="auto"/>
              <w:right w:val="single" w:sz="4" w:space="0" w:color="auto"/>
            </w:tcBorders>
            <w:vAlign w:val="center"/>
          </w:tcPr>
          <w:p w:rsidR="00256799" w:rsidRPr="005537E4" w:rsidRDefault="00256799" w:rsidP="00B52189">
            <w:pPr>
              <w:jc w:val="center"/>
              <w:rPr>
                <w:rFonts w:asciiTheme="minorHAnsi" w:hAnsiTheme="minorHAnsi"/>
              </w:rPr>
            </w:pPr>
            <w:r w:rsidRPr="005537E4">
              <w:rPr>
                <w:rFonts w:asciiTheme="minorHAnsi" w:hAnsiTheme="minorHAnsi"/>
              </w:rPr>
              <w:t>1.09</w:t>
            </w:r>
          </w:p>
        </w:tc>
      </w:tr>
    </w:tbl>
    <w:p w:rsidR="00256799" w:rsidRPr="005537E4" w:rsidRDefault="00256799" w:rsidP="00256799">
      <w:pPr>
        <w:rPr>
          <w:rFonts w:asciiTheme="minorHAnsi" w:hAnsiTheme="minorHAnsi"/>
        </w:rPr>
      </w:pPr>
    </w:p>
    <w:p w:rsidR="00256799" w:rsidRPr="005537E4" w:rsidRDefault="00256799" w:rsidP="00256799">
      <w:pPr>
        <w:pStyle w:val="NoSpacing"/>
        <w:numPr>
          <w:ilvl w:val="0"/>
          <w:numId w:val="18"/>
        </w:numPr>
      </w:pPr>
      <w:r w:rsidRPr="005537E4">
        <w:t xml:space="preserve"> Off-Model Calculations</w:t>
      </w:r>
    </w:p>
    <w:p w:rsidR="00256799" w:rsidRPr="005537E4" w:rsidRDefault="00256799" w:rsidP="00256799">
      <w:pPr>
        <w:pStyle w:val="NoSpacing"/>
        <w:numPr>
          <w:ilvl w:val="0"/>
          <w:numId w:val="20"/>
        </w:numPr>
      </w:pPr>
      <w:r w:rsidRPr="005537E4">
        <w:t>Senior I/M Exemption (emissions debit)</w:t>
      </w:r>
    </w:p>
    <w:p w:rsidR="00256799" w:rsidRPr="005537E4" w:rsidRDefault="00256799" w:rsidP="00256799">
      <w:pPr>
        <w:pStyle w:val="NoSpacing"/>
        <w:numPr>
          <w:ilvl w:val="2"/>
          <w:numId w:val="18"/>
        </w:numPr>
      </w:pPr>
      <w:r w:rsidRPr="005537E4">
        <w:t>The Senior I/M Exemption calculated for year 2002 is conservatively high and will be added to the regional emission inventories for each analysis year.</w:t>
      </w:r>
    </w:p>
    <w:p w:rsidR="00256799" w:rsidRPr="005537E4" w:rsidRDefault="00256799" w:rsidP="00256799">
      <w:pPr>
        <w:pStyle w:val="NoSpacing"/>
        <w:numPr>
          <w:ilvl w:val="0"/>
          <w:numId w:val="18"/>
        </w:numPr>
      </w:pPr>
      <w:r w:rsidRPr="005537E4">
        <w:t>TCMs</w:t>
      </w:r>
    </w:p>
    <w:p w:rsidR="00256799" w:rsidRPr="005537E4" w:rsidRDefault="00256799" w:rsidP="00256799">
      <w:pPr>
        <w:pStyle w:val="NoSpacing"/>
        <w:numPr>
          <w:ilvl w:val="0"/>
          <w:numId w:val="21"/>
        </w:numPr>
      </w:pPr>
      <w:r w:rsidRPr="005537E4">
        <w:t>No additional credit is taken in the emissions modeling process for SIP TCMs</w:t>
      </w:r>
    </w:p>
    <w:p w:rsidR="00256799" w:rsidRPr="005537E4" w:rsidRDefault="00256799" w:rsidP="00256799">
      <w:pPr>
        <w:pStyle w:val="NoSpacing"/>
        <w:numPr>
          <w:ilvl w:val="0"/>
          <w:numId w:val="21"/>
        </w:numPr>
      </w:pPr>
      <w:r w:rsidRPr="005537E4">
        <w:t>Listed below is a TCM status report</w:t>
      </w:r>
    </w:p>
    <w:p w:rsidR="00256799" w:rsidRPr="005537E4" w:rsidRDefault="00256799" w:rsidP="00256799">
      <w:pPr>
        <w:pStyle w:val="NoSpacing"/>
        <w:ind w:left="720"/>
      </w:pPr>
    </w:p>
    <w:tbl>
      <w:tblPr>
        <w:tblW w:w="9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97"/>
        <w:gridCol w:w="1530"/>
        <w:gridCol w:w="1170"/>
        <w:gridCol w:w="839"/>
        <w:gridCol w:w="1638"/>
      </w:tblGrid>
      <w:tr w:rsidR="00256799" w:rsidRPr="005537E4" w:rsidTr="00B52189">
        <w:trPr>
          <w:tblHeader/>
          <w:jc w:val="center"/>
        </w:trPr>
        <w:tc>
          <w:tcPr>
            <w:tcW w:w="4097" w:type="dxa"/>
            <w:tcBorders>
              <w:top w:val="single" w:sz="4" w:space="0" w:color="auto"/>
              <w:left w:val="single" w:sz="4" w:space="0" w:color="auto"/>
              <w:bottom w:val="single" w:sz="4" w:space="0" w:color="auto"/>
              <w:right w:val="single" w:sz="4" w:space="0" w:color="auto"/>
            </w:tcBorders>
            <w:shd w:val="clear" w:color="auto" w:fill="E0E0E0"/>
          </w:tcPr>
          <w:p w:rsidR="00256799" w:rsidRPr="005537E4" w:rsidRDefault="00256799" w:rsidP="00B52189">
            <w:pPr>
              <w:pStyle w:val="NoSpacing"/>
              <w:rPr>
                <w:rFonts w:asciiTheme="minorHAnsi" w:hAnsiTheme="minorHAnsi"/>
                <w:b/>
              </w:rPr>
            </w:pPr>
            <w:r w:rsidRPr="005537E4">
              <w:rPr>
                <w:rFonts w:asciiTheme="minorHAnsi" w:hAnsiTheme="minorHAnsi"/>
                <w:b/>
              </w:rPr>
              <w:t>Description</w:t>
            </w: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56799" w:rsidRPr="005537E4" w:rsidRDefault="00256799" w:rsidP="00B52189">
            <w:pPr>
              <w:pStyle w:val="NoSpacing"/>
              <w:rPr>
                <w:rFonts w:asciiTheme="minorHAnsi" w:hAnsiTheme="minorHAnsi"/>
                <w:b/>
              </w:rPr>
            </w:pPr>
            <w:r w:rsidRPr="005537E4">
              <w:rPr>
                <w:rFonts w:asciiTheme="minorHAnsi" w:hAnsiTheme="minorHAnsi"/>
                <w:b/>
              </w:rPr>
              <w:t>ARC Project #</w:t>
            </w:r>
          </w:p>
        </w:tc>
        <w:tc>
          <w:tcPr>
            <w:tcW w:w="1170" w:type="dxa"/>
            <w:tcBorders>
              <w:top w:val="single" w:sz="4" w:space="0" w:color="auto"/>
              <w:left w:val="single" w:sz="4" w:space="0" w:color="auto"/>
              <w:bottom w:val="single" w:sz="4" w:space="0" w:color="auto"/>
              <w:right w:val="single" w:sz="4" w:space="0" w:color="auto"/>
            </w:tcBorders>
            <w:shd w:val="clear" w:color="auto" w:fill="E0E0E0"/>
          </w:tcPr>
          <w:p w:rsidR="00256799" w:rsidRPr="005537E4" w:rsidRDefault="00256799" w:rsidP="00B52189">
            <w:pPr>
              <w:pStyle w:val="NoSpacing"/>
              <w:rPr>
                <w:rFonts w:asciiTheme="minorHAnsi" w:hAnsiTheme="minorHAnsi"/>
                <w:b/>
              </w:rPr>
            </w:pPr>
            <w:r w:rsidRPr="005537E4">
              <w:rPr>
                <w:rFonts w:asciiTheme="minorHAnsi" w:hAnsiTheme="minorHAnsi"/>
                <w:b/>
              </w:rPr>
              <w:t>GDOT PI #</w:t>
            </w:r>
          </w:p>
        </w:tc>
        <w:tc>
          <w:tcPr>
            <w:tcW w:w="839" w:type="dxa"/>
            <w:tcBorders>
              <w:top w:val="single" w:sz="4" w:space="0" w:color="auto"/>
              <w:left w:val="single" w:sz="4" w:space="0" w:color="auto"/>
              <w:bottom w:val="single" w:sz="4" w:space="0" w:color="auto"/>
              <w:right w:val="single" w:sz="4" w:space="0" w:color="auto"/>
            </w:tcBorders>
            <w:shd w:val="clear" w:color="auto" w:fill="E0E0E0"/>
          </w:tcPr>
          <w:p w:rsidR="00256799" w:rsidRPr="005537E4" w:rsidRDefault="00256799" w:rsidP="00B52189">
            <w:pPr>
              <w:pStyle w:val="NoSpacing"/>
              <w:rPr>
                <w:rFonts w:asciiTheme="minorHAnsi" w:hAnsiTheme="minorHAnsi"/>
                <w:b/>
              </w:rPr>
            </w:pPr>
            <w:r w:rsidRPr="005537E4">
              <w:rPr>
                <w:rFonts w:asciiTheme="minorHAnsi" w:hAnsiTheme="minorHAnsi"/>
                <w:b/>
              </w:rPr>
              <w:t>TIP</w:t>
            </w:r>
          </w:p>
        </w:tc>
        <w:tc>
          <w:tcPr>
            <w:tcW w:w="1638" w:type="dxa"/>
            <w:tcBorders>
              <w:top w:val="single" w:sz="4" w:space="0" w:color="auto"/>
              <w:left w:val="single" w:sz="4" w:space="0" w:color="auto"/>
              <w:bottom w:val="single" w:sz="4" w:space="0" w:color="auto"/>
              <w:right w:val="single" w:sz="4" w:space="0" w:color="auto"/>
            </w:tcBorders>
            <w:shd w:val="clear" w:color="auto" w:fill="E0E0E0"/>
          </w:tcPr>
          <w:p w:rsidR="00256799" w:rsidRPr="005537E4" w:rsidRDefault="00256799" w:rsidP="00B52189">
            <w:pPr>
              <w:pStyle w:val="NoSpacing"/>
              <w:rPr>
                <w:rFonts w:asciiTheme="minorHAnsi" w:hAnsiTheme="minorHAnsi"/>
                <w:b/>
              </w:rPr>
            </w:pPr>
            <w:r w:rsidRPr="005537E4">
              <w:rPr>
                <w:rFonts w:asciiTheme="minorHAnsi" w:hAnsiTheme="minorHAnsi"/>
                <w:b/>
              </w:rPr>
              <w:t>Status</w:t>
            </w:r>
          </w:p>
        </w:tc>
      </w:tr>
      <w:tr w:rsidR="00CA06A5" w:rsidRPr="005537E4" w:rsidTr="004248E7">
        <w:trPr>
          <w:cantSplit/>
          <w:trHeight w:val="422"/>
          <w:jc w:val="center"/>
        </w:trPr>
        <w:tc>
          <w:tcPr>
            <w:tcW w:w="4097" w:type="dxa"/>
            <w:vMerge w:val="restart"/>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HOV LANES</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CA06A5" w:rsidRPr="005537E4" w:rsidRDefault="00CA06A5" w:rsidP="004248E7">
            <w:pPr>
              <w:pStyle w:val="NoSpacing"/>
              <w:rPr>
                <w:rFonts w:asciiTheme="minorHAnsi" w:hAnsiTheme="minorHAnsi"/>
                <w:snapToGrid w:val="0"/>
                <w:sz w:val="20"/>
                <w:szCs w:val="20"/>
              </w:rPr>
            </w:pPr>
          </w:p>
          <w:p w:rsidR="00CA06A5" w:rsidRPr="005537E4" w:rsidRDefault="00CA06A5" w:rsidP="004248E7">
            <w:pPr>
              <w:pStyle w:val="NoSpacing"/>
              <w:rPr>
                <w:rFonts w:asciiTheme="minorHAnsi" w:hAnsiTheme="minorHAnsi"/>
                <w:bCs/>
                <w:snapToGrid w:val="0"/>
                <w:sz w:val="20"/>
                <w:szCs w:val="20"/>
              </w:rPr>
            </w:pPr>
            <w:r w:rsidRPr="005537E4">
              <w:rPr>
                <w:rFonts w:asciiTheme="minorHAnsi" w:hAnsiTheme="minorHAnsi"/>
                <w:snapToGrid w:val="0"/>
                <w:sz w:val="20"/>
                <w:szCs w:val="20"/>
              </w:rPr>
              <w:t>I-85N from Chamblee-Tucker Rd to SR 316 (HOT Lanes),</w:t>
            </w:r>
          </w:p>
          <w:p w:rsidR="00CA06A5" w:rsidRPr="005537E4" w:rsidRDefault="00CA06A5" w:rsidP="004248E7">
            <w:pPr>
              <w:pStyle w:val="NoSpacing"/>
              <w:rPr>
                <w:rFonts w:asciiTheme="minorHAnsi" w:hAnsiTheme="minorHAnsi"/>
                <w:bCs/>
                <w:snapToGrid w:val="0"/>
                <w:sz w:val="20"/>
                <w:szCs w:val="20"/>
              </w:rPr>
            </w:pPr>
            <w:r w:rsidRPr="005537E4">
              <w:rPr>
                <w:rFonts w:asciiTheme="minorHAnsi" w:hAnsiTheme="minorHAnsi"/>
                <w:snapToGrid w:val="0"/>
                <w:sz w:val="20"/>
                <w:szCs w:val="20"/>
              </w:rPr>
              <w:t>I-85 @ SR 316, Interchange Reconstruction</w:t>
            </w: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AR 073B</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713760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99-01</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Under construction*</w:t>
            </w:r>
          </w:p>
        </w:tc>
      </w:tr>
      <w:tr w:rsidR="00CA06A5" w:rsidRPr="005537E4" w:rsidTr="004248E7">
        <w:trPr>
          <w:cantSplit/>
          <w:trHeight w:val="1025"/>
          <w:jc w:val="center"/>
        </w:trPr>
        <w:tc>
          <w:tcPr>
            <w:tcW w:w="4097" w:type="dxa"/>
            <w:vMerge/>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GW-AR 053A</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GW-AR 053B</w:t>
            </w:r>
          </w:p>
        </w:tc>
        <w:tc>
          <w:tcPr>
            <w:tcW w:w="1170"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110530</w:t>
            </w:r>
          </w:p>
        </w:tc>
        <w:tc>
          <w:tcPr>
            <w:tcW w:w="839"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02-04</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03-05</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05-10</w:t>
            </w:r>
          </w:p>
        </w:tc>
        <w:tc>
          <w:tcPr>
            <w:tcW w:w="1638" w:type="dxa"/>
            <w:tcBorders>
              <w:top w:val="single" w:sz="4" w:space="0" w:color="auto"/>
              <w:left w:val="single" w:sz="4" w:space="0" w:color="auto"/>
              <w:bottom w:val="single" w:sz="4" w:space="0" w:color="auto"/>
              <w:right w:val="single" w:sz="4" w:space="0" w:color="auto"/>
            </w:tcBorders>
          </w:tcPr>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Implemented </w:t>
            </w:r>
          </w:p>
          <w:p w:rsidR="00CA06A5" w:rsidRPr="005537E4" w:rsidRDefault="00CA06A5" w:rsidP="004248E7">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ATLANTIC STATION, 17</w:t>
            </w:r>
            <w:r w:rsidRPr="005537E4">
              <w:rPr>
                <w:rFonts w:asciiTheme="minorHAnsi" w:hAnsiTheme="minorHAnsi"/>
                <w:sz w:val="20"/>
                <w:szCs w:val="20"/>
                <w:vertAlign w:val="superscript"/>
              </w:rPr>
              <w:t>th</w:t>
            </w:r>
            <w:r w:rsidRPr="005537E4">
              <w:rPr>
                <w:rFonts w:asciiTheme="minorHAnsi" w:hAnsiTheme="minorHAnsi"/>
                <w:sz w:val="20"/>
                <w:szCs w:val="20"/>
              </w:rPr>
              <w:t xml:space="preserve"> STREET BRIDGE</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Sponsor – City of Atlanta</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 – Bridge and Southbound off ramps</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C – Northside Dr over Norfolk Southern Railroad to Atlantic Station</w:t>
            </w:r>
          </w:p>
          <w:p w:rsidR="00256799" w:rsidRPr="005537E4" w:rsidRDefault="00256799" w:rsidP="00B52189">
            <w:pPr>
              <w:pStyle w:val="NoSpacing"/>
              <w:rPr>
                <w:rFonts w:asciiTheme="minorHAnsi" w:hAnsiTheme="minorHAnsi"/>
                <w:snapToGrid w:val="0"/>
                <w:color w:val="FF0000"/>
                <w:sz w:val="20"/>
                <w:szCs w:val="20"/>
              </w:rPr>
            </w:pPr>
            <w:r w:rsidRPr="005537E4">
              <w:rPr>
                <w:rFonts w:asciiTheme="minorHAnsi" w:hAnsiTheme="minorHAnsi"/>
                <w:sz w:val="20"/>
                <w:szCs w:val="20"/>
              </w:rPr>
              <w:t>D – Northbound off ramp to 17</w:t>
            </w:r>
            <w:r w:rsidRPr="005537E4">
              <w:rPr>
                <w:rFonts w:asciiTheme="minorHAnsi" w:hAnsiTheme="minorHAnsi"/>
                <w:sz w:val="20"/>
                <w:szCs w:val="20"/>
                <w:vertAlign w:val="superscript"/>
              </w:rPr>
              <w:t>th</w:t>
            </w:r>
            <w:r w:rsidRPr="005537E4">
              <w:rPr>
                <w:rFonts w:asciiTheme="minorHAnsi" w:hAnsiTheme="minorHAnsi"/>
                <w:sz w:val="20"/>
                <w:szCs w:val="20"/>
              </w:rPr>
              <w:t xml:space="preserve"> Street Bridge, Williams St Relocation</w:t>
            </w:r>
            <w:r w:rsidRPr="005537E4">
              <w:rPr>
                <w:rFonts w:asciiTheme="minorHAnsi" w:hAnsiTheme="minorHAnsi"/>
                <w:color w:val="FF0000"/>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AT-AR 224A</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AT-AR 224C</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AT-AR 224D</w:t>
            </w:r>
          </w:p>
          <w:p w:rsidR="00256799" w:rsidRPr="005537E4" w:rsidRDefault="00256799" w:rsidP="00B52189">
            <w:pPr>
              <w:pStyle w:val="NoSpacing"/>
              <w:rPr>
                <w:rFonts w:asciiTheme="minorHAnsi" w:hAnsiTheme="minorHAnsi"/>
                <w:sz w:val="20"/>
                <w:szCs w:val="20"/>
              </w:rPr>
            </w:pPr>
          </w:p>
          <w:p w:rsidR="00256799" w:rsidRPr="005537E4" w:rsidRDefault="00256799" w:rsidP="00B52189">
            <w:pPr>
              <w:pStyle w:val="NoSpacing"/>
              <w:rPr>
                <w:rFonts w:asciiTheme="minorHAnsi" w:hAnsiTheme="minorHAnsi"/>
                <w:sz w:val="20"/>
                <w:szCs w:val="20"/>
              </w:rPr>
            </w:pPr>
          </w:p>
          <w:p w:rsidR="00256799" w:rsidRPr="005537E4" w:rsidRDefault="00256799" w:rsidP="00B52189">
            <w:pPr>
              <w:pStyle w:val="NoSpacing"/>
              <w:rPr>
                <w:rFonts w:asciiTheme="minorHAnsi" w:hAnsiTheme="minorHAnsi"/>
                <w:snapToGrid w:val="0"/>
                <w:sz w:val="20"/>
                <w:szCs w:val="20"/>
              </w:rPr>
            </w:pP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714190</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0001297</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z w:val="20"/>
                <w:szCs w:val="20"/>
              </w:rPr>
              <w:t>0001298</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02-04</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03-05</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05-10</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A – Implemented</w:t>
            </w:r>
          </w:p>
          <w:p w:rsidR="00256799" w:rsidRPr="005537E4" w:rsidRDefault="00256799" w:rsidP="00B52189">
            <w:pPr>
              <w:pStyle w:val="NoSpacing"/>
              <w:rPr>
                <w:rFonts w:asciiTheme="minorHAnsi" w:hAnsiTheme="minorHAnsi"/>
                <w:color w:val="FF0000"/>
                <w:sz w:val="20"/>
                <w:szCs w:val="20"/>
              </w:rPr>
            </w:pPr>
            <w:r w:rsidRPr="005537E4">
              <w:rPr>
                <w:rFonts w:asciiTheme="minorHAnsi" w:hAnsiTheme="minorHAnsi"/>
                <w:sz w:val="20"/>
                <w:szCs w:val="20"/>
              </w:rPr>
              <w:t>C – Implemented</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z w:val="20"/>
                <w:szCs w:val="20"/>
              </w:rPr>
              <w:t>D – 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CLEAN FUEL BUSES</w:t>
            </w:r>
          </w:p>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Sponsors – MARTA and CCT</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M-AR 232</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N/A</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94-95</w:t>
            </w:r>
          </w:p>
          <w:p w:rsidR="00256799" w:rsidRPr="005537E4" w:rsidRDefault="00256799" w:rsidP="00B52189">
            <w:pPr>
              <w:pStyle w:val="NoSpacing"/>
              <w:rPr>
                <w:rFonts w:asciiTheme="minorHAnsi" w:hAnsiTheme="minorHAnsi"/>
                <w:snapToGrid w:val="0"/>
                <w:sz w:val="20"/>
                <w:szCs w:val="20"/>
              </w:rPr>
            </w:pP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EXPRESS BUS ROUTES</w:t>
            </w:r>
          </w:p>
          <w:p w:rsidR="00256799" w:rsidRPr="005537E4" w:rsidRDefault="00256799" w:rsidP="00B52189">
            <w:pPr>
              <w:pStyle w:val="NoSpacing"/>
              <w:rPr>
                <w:rFonts w:asciiTheme="minorHAnsi" w:hAnsiTheme="minorHAnsi"/>
                <w:bCs/>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M-R 160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M-R 162</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770632</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cs="Tahoma"/>
                <w:snapToGrid w:val="0"/>
                <w:sz w:val="20"/>
                <w:szCs w:val="20"/>
              </w:rPr>
              <w:t>770632</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IMPROVE / EXPAND BUS SERVICE </w:t>
            </w:r>
          </w:p>
          <w:p w:rsidR="00256799" w:rsidRPr="005537E4" w:rsidRDefault="00256799" w:rsidP="00B52189">
            <w:pPr>
              <w:pStyle w:val="NoSpacing"/>
              <w:rPr>
                <w:rFonts w:asciiTheme="minorHAnsi" w:hAnsiTheme="minorHAnsi"/>
                <w:i/>
                <w:iCs/>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M-R 161</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770633</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96-98</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Implemented</w:t>
            </w:r>
          </w:p>
        </w:tc>
      </w:tr>
      <w:tr w:rsidR="00256799" w:rsidRPr="005537E4" w:rsidTr="00B52189">
        <w:trPr>
          <w:cantSplit/>
          <w:jc w:val="center"/>
        </w:trPr>
        <w:tc>
          <w:tcPr>
            <w:tcW w:w="4097" w:type="dxa"/>
            <w:vMerge w:val="restart"/>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INTERSECTION UPGRADE, COORDINATION &amp; COMPUTERIZATION</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Sponsor(s) – GDOT in partnership with local Jurisdictions</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AT 089</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04Y108</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93-95</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CL 094</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770600</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CO 249</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770601</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DK 118</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770603</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FN 086</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770605</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FS 068</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770605</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GW 135</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170950</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04418</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93-95</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cantSplit/>
          <w:jc w:val="center"/>
        </w:trPr>
        <w:tc>
          <w:tcPr>
            <w:tcW w:w="4097" w:type="dxa"/>
            <w:vMerge/>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770391</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ITS – ADVANCED TRAFFIC MANAGEMENT SYSTEM / INCIDENT MANAGEMENT PROGRAM</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I-75/I-85 within I-285, Northern portion of I-285 between  I-75 and I-85</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098</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770391</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CLEAN FUELS REVOLVING LOAN PROGRAM</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GEFA</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195</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770790, 770795</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96-98</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HOV LANES</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GDOT</w:t>
            </w:r>
          </w:p>
          <w:p w:rsidR="00256799" w:rsidRPr="005537E4" w:rsidRDefault="00256799" w:rsidP="00B52189">
            <w:pPr>
              <w:pStyle w:val="NoSpacing"/>
              <w:rPr>
                <w:rFonts w:asciiTheme="minorHAnsi" w:hAnsiTheme="minorHAnsi"/>
                <w:snapToGrid w:val="0"/>
                <w:sz w:val="20"/>
                <w:szCs w:val="20"/>
              </w:rPr>
            </w:pP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bCs/>
                <w:snapToGrid w:val="0"/>
                <w:sz w:val="20"/>
                <w:szCs w:val="20"/>
              </w:rPr>
              <w:t xml:space="preserve"> </w:t>
            </w:r>
            <w:r w:rsidRPr="005537E4">
              <w:rPr>
                <w:rFonts w:asciiTheme="minorHAnsi" w:hAnsiTheme="minorHAnsi"/>
                <w:snapToGrid w:val="0"/>
                <w:sz w:val="20"/>
                <w:szCs w:val="20"/>
              </w:rPr>
              <w:t>I-75 and I-85 within I-285</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174</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320H94</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 xml:space="preserve">PARK &amp; RIDE LOTS </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Sponsor(s) – Douglas &amp; Rockdale Counties</w:t>
            </w:r>
          </w:p>
          <w:p w:rsidR="00256799" w:rsidRPr="005537E4" w:rsidRDefault="00256799" w:rsidP="00B52189">
            <w:pPr>
              <w:pStyle w:val="NoSpacing"/>
              <w:rPr>
                <w:rFonts w:asciiTheme="minorHAnsi" w:hAnsiTheme="minorHAnsi"/>
                <w:snapToGrid w:val="0"/>
                <w:sz w:val="20"/>
                <w:szCs w:val="20"/>
              </w:rPr>
            </w:pP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Douglas County – Chapel Hill @ I-20,</w:t>
            </w:r>
          </w:p>
          <w:p w:rsidR="00256799" w:rsidRPr="005537E4" w:rsidRDefault="00256799" w:rsidP="00B52189">
            <w:pPr>
              <w:pStyle w:val="NoSpacing"/>
              <w:rPr>
                <w:rFonts w:asciiTheme="minorHAnsi" w:hAnsiTheme="minorHAnsi"/>
                <w:i/>
                <w:iCs/>
                <w:snapToGrid w:val="0"/>
                <w:sz w:val="20"/>
                <w:szCs w:val="20"/>
              </w:rPr>
            </w:pPr>
            <w:r w:rsidRPr="005537E4">
              <w:rPr>
                <w:rFonts w:asciiTheme="minorHAnsi" w:hAnsiTheme="minorHAnsi"/>
                <w:snapToGrid w:val="0"/>
                <w:sz w:val="20"/>
                <w:szCs w:val="20"/>
              </w:rPr>
              <w:t>Rockdale County – Sigman @ I-20</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DO 211C</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REGIONAL COMMUTE OPTIONS &amp; HOV MARKETING PROGRAMS</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Sponsor(s) – GDOT</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R 159</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770631</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SIGNAL PREEMPTION</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napToGrid w:val="0"/>
                <w:sz w:val="20"/>
                <w:szCs w:val="20"/>
              </w:rPr>
              <w:t>M-R 164</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napToGrid w:val="0"/>
                <w:sz w:val="20"/>
                <w:szCs w:val="20"/>
              </w:rPr>
              <w:t>770636</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napToGrid w:val="0"/>
                <w:sz w:val="20"/>
                <w:szCs w:val="20"/>
              </w:rPr>
              <w:t>94-96</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TRANSIT INCENTIVES PROGRAM</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MARTA</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M-AR 231A</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M-AR 231B</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771031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771119</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00-02</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z w:val="20"/>
                <w:szCs w:val="20"/>
              </w:rPr>
            </w:pPr>
            <w:r w:rsidRPr="005537E4">
              <w:rPr>
                <w:rFonts w:asciiTheme="minorHAnsi" w:hAnsiTheme="minorHAnsi"/>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TRANSPORTATION MANAGEMENT ASSOCIATIONS</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ARC</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221A</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221B</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221C</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221E</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221F</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771033</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771140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771141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0000570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0000571</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01-03</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r w:rsidR="00256799" w:rsidRPr="005537E4" w:rsidTr="00B52189">
        <w:trPr>
          <w:jc w:val="center"/>
        </w:trPr>
        <w:tc>
          <w:tcPr>
            <w:tcW w:w="4097"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UNIVERSITY RIDESHARE PROGRAM</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Sponsor - ARC</w:t>
            </w:r>
          </w:p>
        </w:tc>
        <w:tc>
          <w:tcPr>
            <w:tcW w:w="153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220A</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220B</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220C</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220D</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AR 200E</w:t>
            </w:r>
          </w:p>
        </w:tc>
        <w:tc>
          <w:tcPr>
            <w:tcW w:w="1170"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771032</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771113</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0000351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0000567</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0000568</w:t>
            </w:r>
          </w:p>
        </w:tc>
        <w:tc>
          <w:tcPr>
            <w:tcW w:w="839"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98-00</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99-01</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00-02</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01-03</w:t>
            </w:r>
          </w:p>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02-04</w:t>
            </w:r>
          </w:p>
        </w:tc>
        <w:tc>
          <w:tcPr>
            <w:tcW w:w="1638" w:type="dxa"/>
            <w:tcBorders>
              <w:top w:val="single" w:sz="4" w:space="0" w:color="auto"/>
              <w:left w:val="single" w:sz="4" w:space="0" w:color="auto"/>
              <w:bottom w:val="single" w:sz="4" w:space="0" w:color="auto"/>
              <w:right w:val="single" w:sz="4" w:space="0" w:color="auto"/>
            </w:tcBorders>
          </w:tcPr>
          <w:p w:rsidR="00256799" w:rsidRPr="005537E4" w:rsidRDefault="00256799" w:rsidP="00B52189">
            <w:pPr>
              <w:pStyle w:val="NoSpacing"/>
              <w:rPr>
                <w:rFonts w:asciiTheme="minorHAnsi" w:hAnsiTheme="minorHAnsi"/>
                <w:snapToGrid w:val="0"/>
                <w:sz w:val="20"/>
                <w:szCs w:val="20"/>
              </w:rPr>
            </w:pPr>
            <w:r w:rsidRPr="005537E4">
              <w:rPr>
                <w:rFonts w:asciiTheme="minorHAnsi" w:hAnsiTheme="minorHAnsi"/>
                <w:snapToGrid w:val="0"/>
                <w:sz w:val="20"/>
                <w:szCs w:val="20"/>
              </w:rPr>
              <w:t>Implemented</w:t>
            </w:r>
          </w:p>
        </w:tc>
      </w:tr>
    </w:tbl>
    <w:p w:rsidR="00256799" w:rsidRPr="004F7B96" w:rsidRDefault="00256799" w:rsidP="00256799">
      <w:pPr>
        <w:pStyle w:val="NoSpacing"/>
        <w:ind w:left="720" w:right="720"/>
        <w:rPr>
          <w:rFonts w:asciiTheme="minorHAnsi" w:hAnsiTheme="minorHAnsi"/>
          <w:sz w:val="20"/>
          <w:szCs w:val="20"/>
        </w:rPr>
      </w:pPr>
      <w:r w:rsidRPr="005537E4">
        <w:rPr>
          <w:sz w:val="20"/>
          <w:szCs w:val="20"/>
        </w:rPr>
        <w:t>* This project was substituted for the HOV lane.  The substitution was adopted on November 5, 2009 by EPA's concurrence letter.</w:t>
      </w:r>
      <w:r w:rsidRPr="00374459">
        <w:rPr>
          <w:sz w:val="20"/>
          <w:szCs w:val="20"/>
        </w:rPr>
        <w:t xml:space="preserve"> </w:t>
      </w:r>
    </w:p>
    <w:p w:rsidR="00DD1AE2" w:rsidRDefault="00E011EA">
      <w:pPr>
        <w:rPr>
          <w:b/>
          <w:sz w:val="32"/>
          <w:szCs w:val="32"/>
        </w:rPr>
      </w:pPr>
      <w:r>
        <w:br w:type="page"/>
      </w:r>
    </w:p>
    <w:p w:rsidR="009572AA" w:rsidRDefault="009572AA" w:rsidP="00E011EA">
      <w:pPr>
        <w:jc w:val="center"/>
        <w:rPr>
          <w:b/>
          <w:sz w:val="32"/>
          <w:szCs w:val="32"/>
        </w:rPr>
      </w:pPr>
    </w:p>
    <w:p w:rsidR="009572AA" w:rsidRDefault="009572AA" w:rsidP="00E011EA">
      <w:pPr>
        <w:jc w:val="center"/>
        <w:rPr>
          <w:b/>
          <w:sz w:val="32"/>
          <w:szCs w:val="32"/>
        </w:rPr>
      </w:pPr>
    </w:p>
    <w:p w:rsidR="009572AA" w:rsidRDefault="009572AA" w:rsidP="00E011EA">
      <w:pPr>
        <w:jc w:val="center"/>
        <w:rPr>
          <w:b/>
          <w:sz w:val="32"/>
          <w:szCs w:val="32"/>
        </w:rPr>
      </w:pPr>
    </w:p>
    <w:p w:rsidR="009572AA" w:rsidRDefault="009572AA" w:rsidP="00E011EA">
      <w:pPr>
        <w:jc w:val="center"/>
        <w:rPr>
          <w:b/>
          <w:sz w:val="32"/>
          <w:szCs w:val="32"/>
        </w:rPr>
      </w:pPr>
    </w:p>
    <w:p w:rsidR="00E011EA" w:rsidRPr="00E011EA" w:rsidRDefault="00E011EA" w:rsidP="00E011EA">
      <w:pPr>
        <w:jc w:val="center"/>
        <w:rPr>
          <w:b/>
          <w:sz w:val="32"/>
          <w:szCs w:val="32"/>
        </w:rPr>
      </w:pPr>
      <w:r w:rsidRPr="00E011EA">
        <w:rPr>
          <w:b/>
          <w:sz w:val="32"/>
          <w:szCs w:val="32"/>
        </w:rPr>
        <w:t>EXHIBIT 1C</w:t>
      </w:r>
    </w:p>
    <w:p w:rsidR="00E011EA" w:rsidRPr="00E011EA" w:rsidRDefault="00E011EA" w:rsidP="00E011EA">
      <w:pPr>
        <w:jc w:val="center"/>
        <w:rPr>
          <w:b/>
          <w:sz w:val="28"/>
          <w:szCs w:val="28"/>
        </w:rPr>
      </w:pPr>
      <w:r w:rsidRPr="00E011EA">
        <w:rPr>
          <w:b/>
          <w:sz w:val="28"/>
          <w:szCs w:val="28"/>
        </w:rPr>
        <w:t>Interagency Review of</w:t>
      </w:r>
    </w:p>
    <w:p w:rsidR="00E011EA" w:rsidRPr="00E011EA" w:rsidRDefault="00E011EA" w:rsidP="00E011EA">
      <w:pPr>
        <w:jc w:val="center"/>
        <w:rPr>
          <w:b/>
          <w:sz w:val="28"/>
          <w:szCs w:val="28"/>
        </w:rPr>
      </w:pPr>
      <w:r w:rsidRPr="00E011EA">
        <w:rPr>
          <w:b/>
          <w:sz w:val="28"/>
          <w:szCs w:val="28"/>
        </w:rPr>
        <w:t>Population &amp; Employment Planning Assumptions</w:t>
      </w:r>
    </w:p>
    <w:p w:rsidR="00E011EA" w:rsidRPr="00E011EA" w:rsidRDefault="00E011EA" w:rsidP="00E011EA">
      <w:pPr>
        <w:jc w:val="center"/>
        <w:rPr>
          <w:b/>
          <w:sz w:val="28"/>
          <w:szCs w:val="28"/>
        </w:rPr>
      </w:pPr>
      <w:r w:rsidRPr="00E011EA">
        <w:rPr>
          <w:b/>
          <w:sz w:val="28"/>
          <w:szCs w:val="28"/>
        </w:rPr>
        <w:t>Used in Regional Emissions Analysis</w:t>
      </w:r>
    </w:p>
    <w:p w:rsidR="00E011EA" w:rsidRPr="00E011EA" w:rsidRDefault="00E011EA" w:rsidP="00E011EA">
      <w:pPr>
        <w:jc w:val="center"/>
        <w:rPr>
          <w:b/>
          <w:sz w:val="28"/>
          <w:szCs w:val="28"/>
        </w:rPr>
      </w:pPr>
      <w:r w:rsidRPr="00E011EA">
        <w:rPr>
          <w:b/>
          <w:sz w:val="28"/>
          <w:szCs w:val="28"/>
        </w:rPr>
        <w:t>For Atlanta Eight-Hour Ozone and PM2.5 Nonattainment Areas</w:t>
      </w:r>
    </w:p>
    <w:p w:rsidR="00E011EA" w:rsidRPr="00E011EA" w:rsidRDefault="00E011EA" w:rsidP="00E011EA">
      <w:pPr>
        <w:jc w:val="center"/>
        <w:rPr>
          <w:b/>
          <w:sz w:val="28"/>
          <w:szCs w:val="28"/>
        </w:rPr>
      </w:pPr>
    </w:p>
    <w:p w:rsidR="00E011EA" w:rsidRPr="00E011EA" w:rsidRDefault="00E011EA" w:rsidP="00E011EA">
      <w:pPr>
        <w:jc w:val="center"/>
        <w:rPr>
          <w:b/>
        </w:rPr>
      </w:pPr>
      <w:r w:rsidRPr="00E011EA">
        <w:rPr>
          <w:b/>
        </w:rPr>
        <w:t>Interagency Consultation Meeting</w:t>
      </w:r>
    </w:p>
    <w:p w:rsidR="00E011EA" w:rsidRPr="00E011EA" w:rsidRDefault="00E011EA" w:rsidP="00E011EA">
      <w:pPr>
        <w:jc w:val="center"/>
        <w:rPr>
          <w:b/>
        </w:rPr>
      </w:pPr>
      <w:r w:rsidRPr="00E011EA">
        <w:rPr>
          <w:b/>
        </w:rPr>
        <w:t>Atlanta Regional Commission</w:t>
      </w:r>
    </w:p>
    <w:p w:rsidR="00E011EA" w:rsidRPr="00E011EA" w:rsidRDefault="00E011EA" w:rsidP="00E011EA">
      <w:pPr>
        <w:jc w:val="center"/>
        <w:rPr>
          <w:b/>
        </w:rPr>
      </w:pPr>
    </w:p>
    <w:p w:rsidR="00E011EA" w:rsidRPr="00E011EA" w:rsidRDefault="00E011EA" w:rsidP="00E011EA">
      <w:pPr>
        <w:jc w:val="center"/>
        <w:rPr>
          <w:b/>
        </w:rPr>
      </w:pPr>
      <w:r w:rsidRPr="00E011EA">
        <w:rPr>
          <w:b/>
        </w:rPr>
        <w:t>Final IAC Approval: 3/1/11</w:t>
      </w:r>
    </w:p>
    <w:p w:rsidR="00E011EA" w:rsidRPr="00E011EA" w:rsidRDefault="00E011EA" w:rsidP="00E011EA">
      <w:pPr>
        <w:spacing w:after="0" w:line="240" w:lineRule="auto"/>
        <w:rPr>
          <w:rFonts w:asciiTheme="minorHAnsi" w:hAnsiTheme="minorHAnsi"/>
        </w:rPr>
      </w:pPr>
    </w:p>
    <w:p w:rsidR="00E011EA" w:rsidRPr="005537E4" w:rsidRDefault="00E011EA" w:rsidP="00E011EA">
      <w:pPr>
        <w:rPr>
          <w:rFonts w:asciiTheme="minorHAnsi" w:hAnsiTheme="minorHAnsi"/>
        </w:rPr>
      </w:pPr>
      <w:r>
        <w:rPr>
          <w:rFonts w:asciiTheme="minorHAnsi" w:hAnsiTheme="minorHAnsi"/>
        </w:rPr>
        <w:br w:type="page"/>
      </w:r>
      <w:r w:rsidRPr="005537E4">
        <w:rPr>
          <w:rFonts w:asciiTheme="minorHAnsi" w:hAnsiTheme="minorHAnsi"/>
        </w:rPr>
        <w:t>The ARC will be conducting a conformity analysis under the PM2.5 standard as part of the confo</w:t>
      </w:r>
      <w:r>
        <w:rPr>
          <w:rFonts w:asciiTheme="minorHAnsi" w:hAnsiTheme="minorHAnsi"/>
        </w:rPr>
        <w:t>rmity determination for the PLAN</w:t>
      </w:r>
      <w:r w:rsidRPr="005537E4">
        <w:rPr>
          <w:rFonts w:asciiTheme="minorHAnsi" w:hAnsiTheme="minorHAnsi"/>
        </w:rPr>
        <w:t xml:space="preserve"> 2040 RTP / FY 2012-2017 TIP for the 20 county nonattainment area.   </w:t>
      </w:r>
    </w:p>
    <w:p w:rsidR="00E011EA" w:rsidRPr="005537E4" w:rsidRDefault="00E011EA" w:rsidP="00E011EA">
      <w:pPr>
        <w:rPr>
          <w:rFonts w:asciiTheme="minorHAnsi" w:hAnsiTheme="minorHAnsi"/>
        </w:rPr>
      </w:pPr>
      <w:r w:rsidRPr="005537E4">
        <w:rPr>
          <w:rFonts w:asciiTheme="minorHAnsi" w:hAnsiTheme="minorHAnsi"/>
        </w:rPr>
        <w:t>Below is a detailed listing of the procedures and planning assumptions for the upcoming</w:t>
      </w:r>
      <w:r>
        <w:rPr>
          <w:rFonts w:asciiTheme="minorHAnsi" w:hAnsiTheme="minorHAnsi"/>
        </w:rPr>
        <w:t xml:space="preserve"> conformity analysis of the PLAN</w:t>
      </w:r>
      <w:r w:rsidRPr="005537E4">
        <w:rPr>
          <w:rFonts w:asciiTheme="minorHAnsi" w:hAnsiTheme="minorHAnsi"/>
        </w:rPr>
        <w:t xml:space="preserve"> 2040 RTP.  </w:t>
      </w:r>
    </w:p>
    <w:p w:rsidR="00E011EA" w:rsidRDefault="00E011EA">
      <w:pPr>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ARC periodically revises its population and employment forecasts based on best available current information. Each revision is a two-step process. First, new region-level forecasts are produced. These then become region-level controls for census tract and traffic analysis zone (TAZ) forecasts.</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The most current region-level control forecasts (PLAN 2040) were completed in spring of 2009. The accompanying table summarizes the new population and employment controls for the updated, 20-county study area.</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ARC staff was assisted in the development of these regional forecasts by a Technical Advisory Committee (TAC) of nationally known, local experts on the Atlanta Regional Economy. Chair of the Committee was Dr. Donald Ratajczak, Regents Professor Emeritus of Economics at Georgia State University. Dr. Ratajczak served as director of the Economic Forecasting Center in the J. Mack Robinson College of Business at Georgia State University from 1973 until June 2000 and as a professor of economics in the Andrew Young School of Policy Studies until he retired in 2000. The committee recommended the final adopted forecasts for use by the Commission in 2009.</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 xml:space="preserve">The second step in the forecasting process uses mathematical models to disaggregate the region-level control population and employment forecasts to “small areas”: the Superdistrict, census tract and traffic analysis zone (TAZ) level. TAZs are nested within census tracts. Census tracts nest within superdistricts. The mathematical models underlying the region-level controls have evolved and become more complex, but ARC’s basic approach is the same today as in 1975. </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 xml:space="preserve">The TAZ Disaggregator (TAZ-D) model has been used in Plan2040 to disaggregate the regional controls to small areas. This model runs annually and iteratively (unlike the five-year iterative sequence of the previous model small area model, DRAM/EMPAL). The process is fully integrated with the ARC travel demand model, as impedances (travel costs) from the travel model are a significant influence layer for spatial allocation of population and job growth. </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Population and job levels from each successive single-year forecast become the base for forecasts in the next model year. First, the Cube/TP+ model analyze base year traffic patterns and produces accessibility measures (impedances or travel costs) within the 20-county forecasted area. Then, the TAZ-D model uses the composite impedances; Superdistrict-level distribution of base-year population, employment and land use; and other spatial influence layers (e.g. like land use, interchange locations, major arterials, transit stations, etc.) to develop grid-level forecasts one year into the future. The size of the grid areas in the TAZ-D model vary by geographic area of the region, as do the weights assigned to various spatial influence factors for growth. The Unified Growth Policy Map (UGPM) was used by the TAZ-D as the baseline source to generate household and job density and/or intensity levels to allocate future growth. The grid-level forecasts are then aggregated back up to the TAZ, tract, and superdistrict levels. The TAZ-level forecasts then become the input used by the Cube/TP+ model to produce the impedances measure that drives the next iteration of the integrated model run.</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All these models are carefully calibrated based on the best and most current data available. Data used in the current effort include 2000 United States Census results, ARC annual estimates of population (using the building permit method from 2000 Census base) for superdistricts and census tracts, ARC annual estimates of employment by industry for superdistricts, tracts and TAZs from the state of Georgia unemployment insurance base file. National forecasts of employment and population were derived from the REMI Policy Insight+ model. The results of ARC travel surveys included the SMARTRAQ household travel survey, transit on-board survey, Hartsfield air passenger survey, travel time studies, speed studies, and others. Highway projects and the schedule for their completion (primary inputs to the Cube/TP+ model) are developed as part of an extensive discussion between ARC staff, local planners, Georgia Department of Transportation and various federal agencies.</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The area modeled by ARC for transportation/air quality purposes expanded from ten (10) to twenty (20) counties over the last 15 years. The 2010 Census and federal conformity analysis requirements may result in further expansion of the nonattainment area. To meet current and future data needs, ARC produced employment estimates by county and census block group for the state of Georgia beginning in 2008, and continues to produce these estimates annually. The counties covered by land-use data produced in the LandPro program is expanded as needed. ARC’s population estimates’ program area will be expanded as required, from the current 20 counties, using the 2010 Census as a data baseline.</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ARC produced tract-level 2010 estimates of population and 2009 small-area estimates of employment for the 20-county study area to support initial iterations of the TAZ-D model. Development of the annual estimates and of the year 2000 calibration database for the nonmember counties was coordinated with the affected county governments and the Regional Development Centers of which they are members.</w:t>
      </w:r>
    </w:p>
    <w:p w:rsidR="00E011EA" w:rsidRPr="00E011EA" w:rsidRDefault="00E011EA" w:rsidP="00E011EA">
      <w:pPr>
        <w:spacing w:after="0" w:line="240" w:lineRule="auto"/>
        <w:rPr>
          <w:rFonts w:asciiTheme="minorHAnsi" w:hAnsiTheme="minorHAnsi"/>
        </w:rPr>
      </w:pPr>
    </w:p>
    <w:p w:rsidR="00E011EA" w:rsidRPr="00E011EA" w:rsidRDefault="00E011EA" w:rsidP="00E011EA">
      <w:pPr>
        <w:spacing w:after="0" w:line="240" w:lineRule="auto"/>
        <w:rPr>
          <w:rFonts w:asciiTheme="minorHAnsi" w:hAnsiTheme="minorHAnsi"/>
        </w:rPr>
      </w:pPr>
      <w:r w:rsidRPr="00E011EA">
        <w:rPr>
          <w:rFonts w:asciiTheme="minorHAnsi" w:hAnsiTheme="minorHAnsi"/>
        </w:rPr>
        <w:t>Post processing adjustments are made to the ARC forecasts to account for expected large scale changes and policy priorities that would not be reflected in historical data. Events such as expected construction of a new highway or policy input restricting development within the region are accounted for directly in the models with the spatial influence layers or density limitations. Factors such as expected job and household growth from the completion of a major development project (i.e. Atlantic Station) or transit-oriented development are incorporated as post processing adjustments to the model output.</w:t>
      </w:r>
    </w:p>
    <w:p w:rsidR="00E011EA" w:rsidRPr="00E011EA" w:rsidRDefault="00E011EA" w:rsidP="00E011EA">
      <w:pPr>
        <w:spacing w:after="0" w:line="240" w:lineRule="auto"/>
        <w:rPr>
          <w:rFonts w:asciiTheme="minorHAnsi" w:hAnsiTheme="minorHAnsi"/>
        </w:rPr>
      </w:pPr>
    </w:p>
    <w:p w:rsidR="00E011EA" w:rsidRDefault="00E011EA" w:rsidP="00E011EA">
      <w:pPr>
        <w:spacing w:after="0" w:line="240" w:lineRule="auto"/>
        <w:rPr>
          <w:rFonts w:asciiTheme="minorHAnsi" w:hAnsiTheme="minorHAnsi"/>
        </w:rPr>
      </w:pPr>
      <w:r w:rsidRPr="00E011EA">
        <w:rPr>
          <w:rFonts w:asciiTheme="minorHAnsi" w:hAnsiTheme="minorHAnsi"/>
        </w:rPr>
        <w:t>The forecasts will be used as part of the 2011 RTP (Plan2040/FY 2012-2017 TIP), scheduled for adoption in August 2011.</w:t>
      </w:r>
    </w:p>
    <w:p w:rsidR="00E011EA" w:rsidRDefault="00E011EA" w:rsidP="00E011EA">
      <w:pPr>
        <w:spacing w:after="0" w:line="240" w:lineRule="auto"/>
        <w:rPr>
          <w:rFonts w:asciiTheme="minorHAnsi" w:hAnsiTheme="minorHAnsi"/>
        </w:rPr>
        <w:sectPr w:rsidR="00E011EA" w:rsidSect="00F63BB2">
          <w:headerReference w:type="default" r:id="rId7"/>
          <w:footerReference w:type="default" r:id="rId8"/>
          <w:pgSz w:w="12240" w:h="15840"/>
          <w:pgMar w:top="1440" w:right="1440" w:bottom="1440" w:left="1440" w:header="720" w:footer="720" w:gutter="0"/>
          <w:cols w:space="720"/>
          <w:docGrid w:linePitch="360"/>
        </w:sectPr>
      </w:pPr>
    </w:p>
    <w:p w:rsidR="00E011EA" w:rsidRDefault="00E011EA" w:rsidP="00E011EA">
      <w:pPr>
        <w:spacing w:after="0" w:line="240" w:lineRule="auto"/>
        <w:rPr>
          <w:rFonts w:asciiTheme="minorHAnsi" w:hAnsiTheme="minorHAnsi"/>
        </w:rPr>
      </w:pPr>
    </w:p>
    <w:p w:rsidR="00E011EA" w:rsidRPr="00EE496C" w:rsidRDefault="00E011EA" w:rsidP="00E011EA">
      <w:pPr>
        <w:spacing w:after="0" w:line="240" w:lineRule="auto"/>
        <w:rPr>
          <w:rFonts w:asciiTheme="minorHAnsi" w:hAnsiTheme="minorHAnsi"/>
        </w:rPr>
      </w:pPr>
      <w:r w:rsidRPr="00EE496C">
        <w:rPr>
          <w:rFonts w:asciiTheme="minorHAnsi" w:hAnsiTheme="minorHAnsi"/>
          <w:noProof/>
        </w:rPr>
        <w:drawing>
          <wp:inline distT="0" distB="0" distL="0" distR="0">
            <wp:extent cx="8139298" cy="5617028"/>
            <wp:effectExtent l="19050" t="0" r="14102" b="2722"/>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sectPr w:rsidR="00E011EA" w:rsidRPr="00EE496C" w:rsidSect="00E011EA">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8E7" w:rsidRDefault="004248E7" w:rsidP="00256799">
      <w:pPr>
        <w:spacing w:after="0" w:line="240" w:lineRule="auto"/>
      </w:pPr>
      <w:r>
        <w:separator/>
      </w:r>
    </w:p>
  </w:endnote>
  <w:endnote w:type="continuationSeparator" w:id="0">
    <w:p w:rsidR="004248E7" w:rsidRDefault="004248E7" w:rsidP="002567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29266"/>
      <w:docPartObj>
        <w:docPartGallery w:val="Page Numbers (Bottom of Page)"/>
        <w:docPartUnique/>
      </w:docPartObj>
    </w:sdtPr>
    <w:sdtContent>
      <w:p w:rsidR="004248E7" w:rsidRDefault="00F72326">
        <w:pPr>
          <w:pStyle w:val="Footer"/>
          <w:jc w:val="right"/>
        </w:pPr>
        <w:r>
          <w:rPr>
            <w:noProof/>
          </w:rPr>
          <w:pict>
            <v:shapetype id="_x0000_t32" coordsize="21600,21600" o:spt="32" o:oned="t" path="m,l21600,21600e" filled="f">
              <v:path arrowok="t" fillok="f" o:connecttype="none"/>
              <o:lock v:ext="edit" shapetype="t"/>
            </v:shapetype>
            <v:shape id="_x0000_s2049" type="#_x0000_t32" style="position:absolute;left:0;text-align:left;margin-left:-.8pt;margin-top:6.05pt;width:470.9pt;height:0;z-index:251658240;mso-position-horizontal-relative:text;mso-position-vertical-relative:text;mso-width-relative:margin;mso-height-relative:margin" o:connectortype="straight" strokecolor="black [3213]" strokeweight="3pt">
              <v:shadow type="perspective" color="#7f7f7f [1601]" opacity=".5" offset="1pt" offset2="-1pt"/>
            </v:shape>
          </w:pict>
        </w:r>
      </w:p>
      <w:p w:rsidR="004248E7" w:rsidRDefault="004248E7" w:rsidP="004248E7">
        <w:pPr>
          <w:pStyle w:val="Footer"/>
        </w:pPr>
        <w:r>
          <w:t>PLAN 2040 Conformity Determination Report</w:t>
        </w:r>
        <w:r w:rsidR="009572AA">
          <w:t>: Exhibit 1</w:t>
        </w:r>
        <w:r>
          <w:tab/>
        </w:r>
        <w:fldSimple w:instr=" PAGE   \* MERGEFORMAT ">
          <w:r w:rsidR="00967A7B">
            <w:rPr>
              <w:noProof/>
            </w:rPr>
            <w:t>21</w:t>
          </w:r>
        </w:fldSimple>
      </w:p>
    </w:sdtContent>
  </w:sdt>
  <w:p w:rsidR="004248E7" w:rsidRDefault="004248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8E7" w:rsidRDefault="004248E7" w:rsidP="00256799">
      <w:pPr>
        <w:spacing w:after="0" w:line="240" w:lineRule="auto"/>
      </w:pPr>
      <w:r>
        <w:separator/>
      </w:r>
    </w:p>
  </w:footnote>
  <w:footnote w:type="continuationSeparator" w:id="0">
    <w:p w:rsidR="004248E7" w:rsidRDefault="004248E7" w:rsidP="00256799">
      <w:pPr>
        <w:spacing w:after="0" w:line="240" w:lineRule="auto"/>
      </w:pPr>
      <w:r>
        <w:continuationSeparator/>
      </w:r>
    </w:p>
  </w:footnote>
  <w:footnote w:id="1">
    <w:p w:rsidR="004248E7" w:rsidRDefault="004248E7" w:rsidP="00256799">
      <w:pPr>
        <w:pStyle w:val="NoSpacing"/>
      </w:pPr>
      <w:r w:rsidRPr="008660EB">
        <w:rPr>
          <w:rStyle w:val="FootnoteReference"/>
          <w:rFonts w:asciiTheme="minorHAnsi" w:hAnsiTheme="minorHAnsi"/>
        </w:rPr>
        <w:footnoteRef/>
      </w:r>
      <w:r w:rsidRPr="008660EB">
        <w:rPr>
          <w:sz w:val="20"/>
          <w:szCs w:val="20"/>
        </w:rPr>
        <w:t xml:space="preserve"> MVEB established as part of Atlanta Early Progress State Implementation Plan for year 2006.  Federal Register notice of adequacy published April 9, 2007 (72 FR 17550), with an effective date of April 24, 2007.  </w:t>
      </w:r>
    </w:p>
  </w:footnote>
  <w:footnote w:id="2">
    <w:p w:rsidR="004248E7" w:rsidRDefault="004248E7" w:rsidP="00256799">
      <w:pPr>
        <w:pStyle w:val="NoSpacing"/>
        <w:rPr>
          <w:sz w:val="20"/>
          <w:szCs w:val="20"/>
        </w:rPr>
      </w:pPr>
      <w:r w:rsidRPr="008660EB">
        <w:rPr>
          <w:rStyle w:val="FootnoteReference"/>
          <w:rFonts w:asciiTheme="minorHAnsi" w:hAnsiTheme="minorHAnsi"/>
        </w:rPr>
        <w:footnoteRef/>
      </w:r>
      <w:r w:rsidRPr="008660EB">
        <w:rPr>
          <w:sz w:val="20"/>
          <w:szCs w:val="20"/>
        </w:rPr>
        <w:t xml:space="preserve"> Within the ARC travel demand and emission modeling process, free flow speeds are adjusted to reflect the increase in delay and travel time on a roadway segment as traffic volumes build and congestion levels increase.  Link-level congested flow speeds are used to estimate NOx and VOC emissions as required by Sections 93.122(b)(i)(iv) and 93.122(b)(2) of the Transportation Conformity Rule.</w:t>
      </w:r>
    </w:p>
    <w:p w:rsidR="004248E7" w:rsidRDefault="004248E7" w:rsidP="00256799"/>
  </w:footnote>
  <w:footnote w:id="3">
    <w:p w:rsidR="004248E7" w:rsidRPr="00303F94" w:rsidRDefault="004248E7" w:rsidP="00256799">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For the eight-hour ozone standard there are two sets of MOBILE6 input files, one for the 13 counties that make up the former one-hour ozone nonattainment area in which a specific set of emission control measures is in place and one for the seven “ring” counties.  For each set, the input files contain the same assumptions for all analysis years (2010, 2020, and 2030).</w:t>
      </w:r>
    </w:p>
  </w:footnote>
  <w:footnote w:id="4">
    <w:p w:rsidR="004248E7" w:rsidRPr="00303F94" w:rsidRDefault="004248E7" w:rsidP="00256799">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In 2002, Georgia's two-phase gasoline sulfur control program limited average sulfur in gasoline sold in the 13-county Atlanta area and in 12 surrounding counties to 150 parts per million (ppm).  In addition, there was a seasonal (June 1 to September 15) 7.0 pounds per square inch (psi) Reid vapor pressure cap on gasoline sold in this Phase 1 area.  In 2003, Phase 2 of Georgia's gasoline rule reduced average sulfur to 30 ppm year-round and added 20 additional counties to the sulfur and RVP control program.    </w:t>
      </w:r>
    </w:p>
  </w:footnote>
  <w:footnote w:id="5">
    <w:p w:rsidR="004248E7" w:rsidRPr="00B92085" w:rsidRDefault="004248E7" w:rsidP="00256799">
      <w:pPr>
        <w:pStyle w:val="FootnoteText"/>
        <w:rPr>
          <w:rFonts w:asciiTheme="minorHAnsi" w:hAnsiTheme="minorHAnsi"/>
        </w:rPr>
      </w:pPr>
      <w:r w:rsidRPr="008660EB">
        <w:rPr>
          <w:rStyle w:val="FootnoteReference"/>
          <w:rFonts w:asciiTheme="minorHAnsi" w:hAnsiTheme="minorHAnsi"/>
        </w:rPr>
        <w:footnoteRef/>
      </w:r>
      <w:r w:rsidRPr="008660EB">
        <w:rPr>
          <w:rFonts w:asciiTheme="minorHAnsi" w:hAnsiTheme="minorHAnsi"/>
        </w:rPr>
        <w:t xml:space="preserve"> </w:t>
      </w:r>
      <w:r w:rsidRPr="008660EB">
        <w:rPr>
          <w:rFonts w:asciiTheme="minorHAnsi" w:hAnsiTheme="minorHAnsi"/>
          <w:i/>
        </w:rPr>
        <w:t>Procedures for Emission Inventory Preparation, Volume IV: Mobile Sources</w:t>
      </w:r>
      <w:r w:rsidRPr="008660EB">
        <w:rPr>
          <w:rFonts w:asciiTheme="minorHAnsi" w:hAnsiTheme="minorHAnsi"/>
        </w:rPr>
        <w:t>, Section 3.4.2.6, EPA420-R-92-009, USEPA Office of Air and Radiation, Office of Mobile Sources, 1992.</w:t>
      </w:r>
    </w:p>
  </w:footnote>
  <w:footnote w:id="6">
    <w:p w:rsidR="004248E7" w:rsidRDefault="004248E7" w:rsidP="00256799">
      <w:pPr>
        <w:pStyle w:val="NoSpacing"/>
      </w:pPr>
      <w:r>
        <w:rPr>
          <w:rStyle w:val="FootnoteReference"/>
          <w:rFonts w:asciiTheme="minorHAnsi" w:hAnsiTheme="minorHAnsi"/>
        </w:rPr>
        <w:footnoteRef/>
      </w:r>
      <w:r w:rsidRPr="008660EB">
        <w:rPr>
          <w:sz w:val="20"/>
          <w:szCs w:val="20"/>
        </w:rPr>
        <w:t xml:space="preserve"> Federal Register, Vol. 69, No.126, July 1, 2004, p. 40015, first column.</w:t>
      </w:r>
    </w:p>
  </w:footnote>
  <w:footnote w:id="7">
    <w:p w:rsidR="004248E7" w:rsidRDefault="004248E7" w:rsidP="00256799">
      <w:pPr>
        <w:pStyle w:val="NoSpacing"/>
      </w:pPr>
      <w:r w:rsidRPr="008660EB">
        <w:rPr>
          <w:rStyle w:val="FootnoteReference"/>
          <w:rFonts w:asciiTheme="minorHAnsi" w:hAnsiTheme="minorHAnsi"/>
        </w:rPr>
        <w:footnoteRef/>
      </w:r>
      <w:r w:rsidRPr="008660EB">
        <w:rPr>
          <w:sz w:val="20"/>
          <w:szCs w:val="20"/>
        </w:rPr>
        <w:t xml:space="preserve"> Within the ARC travel demand and emission modeling process, free flow speeds are adjusted to reflect the increase in delay and travel time on a roadway segment as traffic volumes build and congestion levels increase.  Link-level congested flow speeds are used to estimate NOx and VOC emissions as required by Sections 93.122(b)(i)(iv) and 93.122(b)(2) of the Transportation Conformity Rule.</w:t>
      </w:r>
    </w:p>
  </w:footnote>
  <w:footnote w:id="8">
    <w:p w:rsidR="004248E7" w:rsidRDefault="004248E7" w:rsidP="00256799">
      <w:pPr>
        <w:pStyle w:val="NoSpacing"/>
      </w:pPr>
      <w:r>
        <w:rPr>
          <w:rStyle w:val="FootnoteReference"/>
          <w:rFonts w:asciiTheme="minorHAnsi" w:hAnsiTheme="minorHAnsi"/>
        </w:rPr>
        <w:footnoteRef/>
      </w:r>
      <w:r w:rsidRPr="008660EB">
        <w:rPr>
          <w:sz w:val="20"/>
          <w:szCs w:val="20"/>
        </w:rPr>
        <w:t xml:space="preserve"> For the PM2.5 standard there are two sets of MOBILE6 input files, one for the 13 counties that make up the former one-hour ozone nonattainment area in which a specific set of emission control measures is in place and one for the seven “ring” counties plus the portions of Heard and Putnam counties.  For each set, the input files contain the same assumptions for all analysis years (2010, 2020, and 2030).</w:t>
      </w:r>
    </w:p>
  </w:footnote>
  <w:footnote w:id="9">
    <w:p w:rsidR="004248E7" w:rsidRDefault="004248E7" w:rsidP="00256799">
      <w:pPr>
        <w:pStyle w:val="NoSpacing"/>
      </w:pPr>
      <w:r>
        <w:rPr>
          <w:rStyle w:val="FootnoteReference"/>
          <w:rFonts w:asciiTheme="minorHAnsi" w:hAnsiTheme="minorHAnsi"/>
        </w:rPr>
        <w:footnoteRef/>
      </w:r>
      <w:r w:rsidRPr="008660EB">
        <w:rPr>
          <w:sz w:val="20"/>
          <w:szCs w:val="20"/>
        </w:rPr>
        <w:t xml:space="preserve"> In 2002, Georgia's two-phase gasoline sulfur control program limited average sulfur in gasoline sold in the 13-county Atlanta area and in 12 surrounding counties to 150 parts per million (ppm).  In addition, there was a seasonal (June 1 to September 15) 7.0 pounds per square inch (psi) Reid vapor pressure cap on gasoline sold in this Phase 1 area.  In 2003, Phase 2 of Georgia's gasoline rule reduced average sulfur to 30 ppm year-round and added 20 additional counties (including Putnam) to the sulfur and RVP control program.  Because MOBILE6 shows no effect of oxygenate (e.g., ethanol) on PM2.5, ethanol-blend gasoline was not modeled for the PM2.5 regional emissions analysis.  </w:t>
      </w:r>
    </w:p>
  </w:footnote>
  <w:footnote w:id="10">
    <w:p w:rsidR="004248E7" w:rsidRDefault="004248E7" w:rsidP="00256799">
      <w:pPr>
        <w:pStyle w:val="NoSpacing"/>
      </w:pPr>
      <w:r>
        <w:rPr>
          <w:rStyle w:val="FootnoteReference"/>
          <w:rFonts w:asciiTheme="minorHAnsi" w:hAnsiTheme="minorHAnsi"/>
        </w:rPr>
        <w:footnoteRef/>
      </w:r>
      <w:r w:rsidRPr="008660EB">
        <w:rPr>
          <w:sz w:val="20"/>
          <w:szCs w:val="20"/>
        </w:rPr>
        <w:t xml:space="preserve"> </w:t>
      </w:r>
      <w:hyperlink r:id="rId1" w:history="1">
        <w:r>
          <w:rPr>
            <w:rStyle w:val="Hyperlink"/>
            <w:rFonts w:asciiTheme="minorHAnsi" w:hAnsiTheme="minorHAnsi"/>
            <w:sz w:val="20"/>
            <w:szCs w:val="20"/>
          </w:rPr>
          <w:t>http://www.epa.gov/oms/nmim.htm</w:t>
        </w:r>
      </w:hyperlink>
    </w:p>
  </w:footnote>
  <w:footnote w:id="11">
    <w:p w:rsidR="004248E7" w:rsidRDefault="004248E7" w:rsidP="00256799">
      <w:pPr>
        <w:pStyle w:val="NoSpacing"/>
      </w:pPr>
      <w:r w:rsidRPr="008660EB">
        <w:rPr>
          <w:rStyle w:val="FootnoteReference"/>
          <w:rFonts w:asciiTheme="minorHAnsi" w:hAnsiTheme="minorHAnsi"/>
        </w:rPr>
        <w:footnoteRef/>
      </w:r>
      <w:r w:rsidRPr="008660EB">
        <w:rPr>
          <w:sz w:val="20"/>
          <w:szCs w:val="20"/>
        </w:rPr>
        <w:t xml:space="preserve"> For the 2002 base year </w:t>
      </w:r>
      <w:r w:rsidRPr="008660EB">
        <w:rPr>
          <w:i/>
          <w:sz w:val="20"/>
          <w:szCs w:val="20"/>
        </w:rPr>
        <w:t>only</w:t>
      </w:r>
      <w:r w:rsidRPr="008660EB">
        <w:rPr>
          <w:sz w:val="20"/>
          <w:szCs w:val="20"/>
        </w:rPr>
        <w:t>, separate emission factors were run for Putnam County because the Low-Sulfur, Low RVP Georgia Gasoline program was not implemented in the county until 2003. This resulted in a fuel blend in Putnam County in 2002 that is not low-sulfur and that has a higher average annual RVP.</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8E7" w:rsidRPr="009572AA" w:rsidRDefault="00F72326" w:rsidP="004248E7">
    <w:pPr>
      <w:pStyle w:val="Header"/>
      <w:rPr>
        <w:rFonts w:ascii="Tw Cen MT" w:hAnsi="Tw Cen MT"/>
        <w:b/>
        <w:color w:val="FF0000"/>
        <w:sz w:val="40"/>
        <w:szCs w:val="40"/>
      </w:rPr>
    </w:pPr>
    <w:r>
      <w:rPr>
        <w:rFonts w:ascii="Tw Cen MT" w:hAnsi="Tw Cen MT"/>
        <w:b/>
        <w:noProof/>
        <w:color w:val="FF0000"/>
        <w:sz w:val="40"/>
        <w:szCs w:val="40"/>
      </w:rPr>
      <w:pict>
        <v:shapetype id="_x0000_t32" coordsize="21600,21600" o:spt="32" o:oned="t" path="m,l21600,21600e" filled="f">
          <v:path arrowok="t" fillok="f" o:connecttype="none"/>
          <o:lock v:ext="edit" shapetype="t"/>
        </v:shapetype>
        <v:shape id="_x0000_s2050" type="#_x0000_t32" style="position:absolute;margin-left:0;margin-top:21.6pt;width:463.7pt;height:0;z-index:251660288;mso-position-horizontal-relative:text;mso-position-vertical-relative:text;mso-width-relative:margin;mso-height-relative:margin" o:connectortype="straight" strokecolor="black [3213]" strokeweight="3pt">
          <v:shadow type="perspective" color="#7f7f7f [1601]" opacity=".5" offset="1pt" offset2="-1pt"/>
        </v:shape>
      </w:pict>
    </w:r>
  </w:p>
  <w:p w:rsidR="004248E7" w:rsidRDefault="004248E7" w:rsidP="004248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233E"/>
    <w:multiLevelType w:val="hybridMultilevel"/>
    <w:tmpl w:val="4F04D0CA"/>
    <w:lvl w:ilvl="0" w:tplc="69D0DCDE">
      <w:start w:val="1"/>
      <w:numFmt w:val="lowerRoman"/>
      <w:lvlText w:val="%1)"/>
      <w:lvlJc w:val="right"/>
      <w:pPr>
        <w:ind w:left="1080" w:hanging="360"/>
      </w:pPr>
      <w:rPr>
        <w:rFonts w:ascii="Calibri" w:eastAsia="Times New Roman"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642D46"/>
    <w:multiLevelType w:val="hybridMultilevel"/>
    <w:tmpl w:val="2152AF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B61C2"/>
    <w:multiLevelType w:val="multilevel"/>
    <w:tmpl w:val="EB8AC7CA"/>
    <w:lvl w:ilvl="0">
      <w:start w:val="1"/>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Rockwell" w:hAnsi="Rockwell"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
    <w:nsid w:val="22C47731"/>
    <w:multiLevelType w:val="hybridMultilevel"/>
    <w:tmpl w:val="C2A6ECB0"/>
    <w:lvl w:ilvl="0" w:tplc="E98E91C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E224B2"/>
    <w:multiLevelType w:val="hybridMultilevel"/>
    <w:tmpl w:val="6E181C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B19FA"/>
    <w:multiLevelType w:val="hybridMultilevel"/>
    <w:tmpl w:val="A22A9F5C"/>
    <w:lvl w:ilvl="0" w:tplc="68AAB47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73037B"/>
    <w:multiLevelType w:val="multilevel"/>
    <w:tmpl w:val="EFEA66F6"/>
    <w:lvl w:ilvl="0">
      <w:start w:val="4"/>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b w:val="0"/>
        <w:i w:val="0"/>
      </w:rPr>
    </w:lvl>
    <w:lvl w:ilvl="2">
      <w:start w:val="1"/>
      <w:numFmt w:val="lowerRoman"/>
      <w:lvlText w:val="%3)"/>
      <w:lvlJc w:val="left"/>
      <w:pPr>
        <w:tabs>
          <w:tab w:val="num" w:pos="1080"/>
        </w:tabs>
        <w:ind w:left="1080" w:hanging="360"/>
      </w:pPr>
      <w:rPr>
        <w:rFonts w:ascii="Calibri" w:hAnsi="Calibri"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7">
    <w:nsid w:val="33AA4021"/>
    <w:multiLevelType w:val="multilevel"/>
    <w:tmpl w:val="364A093C"/>
    <w:lvl w:ilvl="0">
      <w:start w:val="6"/>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8">
    <w:nsid w:val="353331AB"/>
    <w:multiLevelType w:val="hybridMultilevel"/>
    <w:tmpl w:val="44F0F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457C23"/>
    <w:multiLevelType w:val="hybridMultilevel"/>
    <w:tmpl w:val="1B80453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A3149F"/>
    <w:multiLevelType w:val="multilevel"/>
    <w:tmpl w:val="B6B6E1DC"/>
    <w:lvl w:ilvl="0">
      <w:start w:val="1"/>
      <w:numFmt w:val="lowerRoman"/>
      <w:lvlText w:val="%1."/>
      <w:lvlJc w:val="righ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nsid w:val="40541ED9"/>
    <w:multiLevelType w:val="multilevel"/>
    <w:tmpl w:val="AECA272A"/>
    <w:lvl w:ilvl="0">
      <w:start w:val="4"/>
      <w:numFmt w:val="decimal"/>
      <w:lvlText w:val="%1)"/>
      <w:lvlJc w:val="left"/>
      <w:pPr>
        <w:tabs>
          <w:tab w:val="num" w:pos="360"/>
        </w:tabs>
        <w:ind w:left="360" w:hanging="360"/>
      </w:pPr>
      <w:rPr>
        <w:rFonts w:ascii="Times New Roman" w:hAnsi="Times New Roman"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rPr>
    </w:lvl>
    <w:lvl w:ilvl="2">
      <w:start w:val="1"/>
      <w:numFmt w:val="lowerRoman"/>
      <w:lvlText w:val="%3)"/>
      <w:lvlJc w:val="left"/>
      <w:pPr>
        <w:tabs>
          <w:tab w:val="num" w:pos="1080"/>
        </w:tabs>
        <w:ind w:left="1080" w:hanging="360"/>
      </w:pPr>
      <w:rPr>
        <w:rFonts w:ascii="Calibri" w:hAnsi="Calibri" w:cs="Times New Roman" w:hint="default"/>
      </w:rPr>
    </w:lvl>
    <w:lvl w:ilvl="3">
      <w:start w:val="1"/>
      <w:numFmt w:val="decimal"/>
      <w:lvlText w:val="(%4)"/>
      <w:lvlJc w:val="left"/>
      <w:pPr>
        <w:tabs>
          <w:tab w:val="num" w:pos="1440"/>
        </w:tabs>
        <w:ind w:left="1440" w:hanging="360"/>
      </w:pPr>
      <w:rPr>
        <w:rFonts w:ascii="Calibri" w:hAnsi="Calibri"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2">
    <w:nsid w:val="43F66E9A"/>
    <w:multiLevelType w:val="hybridMultilevel"/>
    <w:tmpl w:val="C100B4B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C91FBB"/>
    <w:multiLevelType w:val="multilevel"/>
    <w:tmpl w:val="31FC1F00"/>
    <w:lvl w:ilvl="0">
      <w:start w:val="5"/>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4">
    <w:nsid w:val="4865204A"/>
    <w:multiLevelType w:val="hybridMultilevel"/>
    <w:tmpl w:val="5630FFBE"/>
    <w:lvl w:ilvl="0" w:tplc="E98E91C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AD36A0"/>
    <w:multiLevelType w:val="hybridMultilevel"/>
    <w:tmpl w:val="C3FC2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490508"/>
    <w:multiLevelType w:val="multilevel"/>
    <w:tmpl w:val="1D72E57A"/>
    <w:lvl w:ilvl="0">
      <w:start w:val="1"/>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rPr>
    </w:lvl>
    <w:lvl w:ilvl="2">
      <w:start w:val="1"/>
      <w:numFmt w:val="lowerRoman"/>
      <w:lvlText w:val="%3)"/>
      <w:lvlJc w:val="left"/>
      <w:pPr>
        <w:tabs>
          <w:tab w:val="num" w:pos="1080"/>
        </w:tabs>
        <w:ind w:left="1080" w:hanging="360"/>
      </w:pPr>
      <w:rPr>
        <w:rFonts w:ascii="Calibri" w:hAnsi="Calibri" w:cs="Times New Roman" w:hint="default"/>
      </w:rPr>
    </w:lvl>
    <w:lvl w:ilvl="3">
      <w:start w:val="1"/>
      <w:numFmt w:val="decimal"/>
      <w:lvlText w:val="(%4)"/>
      <w:lvlJc w:val="left"/>
      <w:pPr>
        <w:tabs>
          <w:tab w:val="num" w:pos="1440"/>
        </w:tabs>
        <w:ind w:left="1440" w:hanging="360"/>
      </w:pPr>
      <w:rPr>
        <w:rFonts w:ascii="Calibri" w:hAnsi="Calibri"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7">
    <w:nsid w:val="4F566738"/>
    <w:multiLevelType w:val="multilevel"/>
    <w:tmpl w:val="DD98A1F6"/>
    <w:lvl w:ilvl="0">
      <w:start w:val="1"/>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rPr>
    </w:lvl>
    <w:lvl w:ilvl="2">
      <w:start w:val="1"/>
      <w:numFmt w:val="lowerRoman"/>
      <w:lvlText w:val="%3)"/>
      <w:lvlJc w:val="left"/>
      <w:pPr>
        <w:tabs>
          <w:tab w:val="num" w:pos="1080"/>
        </w:tabs>
        <w:ind w:left="1080" w:hanging="360"/>
      </w:pPr>
      <w:rPr>
        <w:rFonts w:ascii="Calibri" w:hAnsi="Calibri" w:cs="Times New Roman" w:hint="default"/>
      </w:rPr>
    </w:lvl>
    <w:lvl w:ilvl="3">
      <w:start w:val="1"/>
      <w:numFmt w:val="decimal"/>
      <w:lvlText w:val="(%4)"/>
      <w:lvlJc w:val="left"/>
      <w:pPr>
        <w:tabs>
          <w:tab w:val="num" w:pos="1440"/>
        </w:tabs>
        <w:ind w:left="1440" w:hanging="360"/>
      </w:pPr>
      <w:rPr>
        <w:rFonts w:ascii="Calibri" w:hAnsi="Calibri"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8">
    <w:nsid w:val="51E51420"/>
    <w:multiLevelType w:val="hybridMultilevel"/>
    <w:tmpl w:val="938A9486"/>
    <w:lvl w:ilvl="0" w:tplc="424CDCEE">
      <w:start w:val="1"/>
      <w:numFmt w:val="decimal"/>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F7C62D2"/>
    <w:multiLevelType w:val="hybridMultilevel"/>
    <w:tmpl w:val="A1641B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343A54"/>
    <w:multiLevelType w:val="hybridMultilevel"/>
    <w:tmpl w:val="C02021E8"/>
    <w:lvl w:ilvl="0" w:tplc="E98E91C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6435719"/>
    <w:multiLevelType w:val="multilevel"/>
    <w:tmpl w:val="AC8C265E"/>
    <w:lvl w:ilvl="0">
      <w:start w:val="1"/>
      <w:numFmt w:val="lowerLetter"/>
      <w:lvlText w:val="%1)"/>
      <w:lvlJc w:val="left"/>
      <w:pPr>
        <w:ind w:left="720" w:hanging="360"/>
      </w:pPr>
      <w:rPr>
        <w:rFonts w:ascii="Calibri" w:hAnsi="Calibri"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nsid w:val="70F0065D"/>
    <w:multiLevelType w:val="hybridMultilevel"/>
    <w:tmpl w:val="A6FED226"/>
    <w:lvl w:ilvl="0" w:tplc="04090011">
      <w:start w:val="1"/>
      <w:numFmt w:val="decimal"/>
      <w:lvlText w:val="%1)"/>
      <w:lvlJc w:val="left"/>
      <w:pPr>
        <w:ind w:left="720" w:hanging="360"/>
      </w:p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FA3279"/>
    <w:multiLevelType w:val="hybridMultilevel"/>
    <w:tmpl w:val="FC7249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9D23FF"/>
    <w:multiLevelType w:val="multilevel"/>
    <w:tmpl w:val="5F0A6C02"/>
    <w:lvl w:ilvl="0">
      <w:start w:val="4"/>
      <w:numFmt w:val="decimal"/>
      <w:lvlText w:val="%1)"/>
      <w:lvlJc w:val="left"/>
      <w:pPr>
        <w:tabs>
          <w:tab w:val="num" w:pos="360"/>
        </w:tabs>
        <w:ind w:left="360" w:hanging="360"/>
      </w:pPr>
      <w:rPr>
        <w:rFonts w:ascii="Times New Roman" w:hAnsi="Times New Roman"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rPr>
    </w:lvl>
    <w:lvl w:ilvl="2">
      <w:start w:val="1"/>
      <w:numFmt w:val="lowerRoman"/>
      <w:lvlText w:val="%3)"/>
      <w:lvlJc w:val="left"/>
      <w:pPr>
        <w:tabs>
          <w:tab w:val="num" w:pos="1080"/>
        </w:tabs>
        <w:ind w:left="1080" w:hanging="360"/>
      </w:pPr>
      <w:rPr>
        <w:rFonts w:ascii="Calibri" w:hAnsi="Calibri"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5">
    <w:nsid w:val="75977B40"/>
    <w:multiLevelType w:val="hybridMultilevel"/>
    <w:tmpl w:val="44F027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45646D"/>
    <w:multiLevelType w:val="hybridMultilevel"/>
    <w:tmpl w:val="FB9AD3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895B54"/>
    <w:multiLevelType w:val="hybridMultilevel"/>
    <w:tmpl w:val="D10EBBDA"/>
    <w:lvl w:ilvl="0" w:tplc="424CDCEE">
      <w:start w:val="1"/>
      <w:numFmt w:val="decimal"/>
      <w:lvlText w:val="(%1)"/>
      <w:lvlJc w:val="left"/>
      <w:pPr>
        <w:ind w:left="1440" w:hanging="360"/>
      </w:pPr>
      <w:rPr>
        <w:rFonts w:ascii="Calibri" w:eastAsia="Times New Roman" w:hAnsi="Calibri"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A0979A0"/>
    <w:multiLevelType w:val="multilevel"/>
    <w:tmpl w:val="AAD2DC42"/>
    <w:lvl w:ilvl="0">
      <w:start w:val="4"/>
      <w:numFmt w:val="decimal"/>
      <w:lvlText w:val="%1)"/>
      <w:lvlJc w:val="left"/>
      <w:pPr>
        <w:tabs>
          <w:tab w:val="num" w:pos="360"/>
        </w:tabs>
        <w:ind w:left="360" w:hanging="360"/>
      </w:pPr>
      <w:rPr>
        <w:rFonts w:ascii="Calibri" w:hAnsi="Calibri" w:cs="Times New Roman" w:hint="default"/>
      </w:rPr>
    </w:lvl>
    <w:lvl w:ilvl="1">
      <w:start w:val="1"/>
      <w:numFmt w:val="lowerLetter"/>
      <w:lvlRestart w:val="0"/>
      <w:lvlText w:val="%2)"/>
      <w:lvlJc w:val="left"/>
      <w:pPr>
        <w:tabs>
          <w:tab w:val="num" w:pos="720"/>
        </w:tabs>
        <w:ind w:left="720" w:hanging="360"/>
      </w:pPr>
      <w:rPr>
        <w:rFonts w:ascii="Calibri" w:hAnsi="Calibri" w:cs="Times New Roman" w:hint="default"/>
        <w:b w:val="0"/>
        <w:i w:val="0"/>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29">
    <w:nsid w:val="7FFE76BD"/>
    <w:multiLevelType w:val="hybridMultilevel"/>
    <w:tmpl w:val="13AE7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4"/>
  </w:num>
  <w:num w:numId="3">
    <w:abstractNumId w:val="1"/>
  </w:num>
  <w:num w:numId="4">
    <w:abstractNumId w:val="16"/>
  </w:num>
  <w:num w:numId="5">
    <w:abstractNumId w:val="11"/>
  </w:num>
  <w:num w:numId="6">
    <w:abstractNumId w:val="28"/>
  </w:num>
  <w:num w:numId="7">
    <w:abstractNumId w:val="2"/>
  </w:num>
  <w:num w:numId="8">
    <w:abstractNumId w:val="7"/>
  </w:num>
  <w:num w:numId="9">
    <w:abstractNumId w:val="13"/>
  </w:num>
  <w:num w:numId="10">
    <w:abstractNumId w:val="24"/>
  </w:num>
  <w:num w:numId="11">
    <w:abstractNumId w:val="21"/>
  </w:num>
  <w:num w:numId="12">
    <w:abstractNumId w:val="10"/>
  </w:num>
  <w:num w:numId="13">
    <w:abstractNumId w:val="14"/>
  </w:num>
  <w:num w:numId="14">
    <w:abstractNumId w:val="22"/>
  </w:num>
  <w:num w:numId="15">
    <w:abstractNumId w:val="26"/>
  </w:num>
  <w:num w:numId="16">
    <w:abstractNumId w:val="27"/>
  </w:num>
  <w:num w:numId="17">
    <w:abstractNumId w:val="17"/>
  </w:num>
  <w:num w:numId="18">
    <w:abstractNumId w:val="6"/>
  </w:num>
  <w:num w:numId="19">
    <w:abstractNumId w:val="18"/>
  </w:num>
  <w:num w:numId="20">
    <w:abstractNumId w:val="19"/>
  </w:num>
  <w:num w:numId="21">
    <w:abstractNumId w:val="23"/>
  </w:num>
  <w:num w:numId="22">
    <w:abstractNumId w:val="3"/>
  </w:num>
  <w:num w:numId="23">
    <w:abstractNumId w:val="25"/>
  </w:num>
  <w:num w:numId="24">
    <w:abstractNumId w:val="0"/>
  </w:num>
  <w:num w:numId="25">
    <w:abstractNumId w:val="5"/>
  </w:num>
  <w:num w:numId="26">
    <w:abstractNumId w:val="20"/>
  </w:num>
  <w:num w:numId="27">
    <w:abstractNumId w:val="8"/>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revisionView w:markup="0"/>
  <w:defaultTabStop w:val="720"/>
  <w:drawingGridHorizontalSpacing w:val="110"/>
  <w:displayHorizontalDrawingGridEvery w:val="2"/>
  <w:characterSpacingControl w:val="doNotCompress"/>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256799"/>
    <w:rsid w:val="00024391"/>
    <w:rsid w:val="000A4913"/>
    <w:rsid w:val="00101B00"/>
    <w:rsid w:val="00122EC9"/>
    <w:rsid w:val="001F2368"/>
    <w:rsid w:val="00227751"/>
    <w:rsid w:val="00256799"/>
    <w:rsid w:val="00273311"/>
    <w:rsid w:val="00313E8F"/>
    <w:rsid w:val="00330F86"/>
    <w:rsid w:val="00417923"/>
    <w:rsid w:val="004248E7"/>
    <w:rsid w:val="00460B9B"/>
    <w:rsid w:val="00472431"/>
    <w:rsid w:val="00472A39"/>
    <w:rsid w:val="005537E4"/>
    <w:rsid w:val="005769A0"/>
    <w:rsid w:val="006F0BBE"/>
    <w:rsid w:val="007F1C12"/>
    <w:rsid w:val="007F4541"/>
    <w:rsid w:val="008B53DA"/>
    <w:rsid w:val="009572AA"/>
    <w:rsid w:val="00964EC6"/>
    <w:rsid w:val="00965AAD"/>
    <w:rsid w:val="00967A7B"/>
    <w:rsid w:val="009B3519"/>
    <w:rsid w:val="009D56C6"/>
    <w:rsid w:val="00A34DA0"/>
    <w:rsid w:val="00B31B06"/>
    <w:rsid w:val="00B52189"/>
    <w:rsid w:val="00CA06A5"/>
    <w:rsid w:val="00DB28D5"/>
    <w:rsid w:val="00DD1AE2"/>
    <w:rsid w:val="00E011EA"/>
    <w:rsid w:val="00E05F46"/>
    <w:rsid w:val="00E32D0A"/>
    <w:rsid w:val="00EA63CC"/>
    <w:rsid w:val="00EC153E"/>
    <w:rsid w:val="00EE496C"/>
    <w:rsid w:val="00F10ED9"/>
    <w:rsid w:val="00F25392"/>
    <w:rsid w:val="00F63BB2"/>
    <w:rsid w:val="00F72326"/>
    <w:rsid w:val="00F833E7"/>
    <w:rsid w:val="00FA3A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799"/>
    <w:rPr>
      <w:rFonts w:ascii="Calibri" w:eastAsia="Times New Roman" w:hAnsi="Calibri" w:cs="Times New Roman"/>
    </w:rPr>
  </w:style>
  <w:style w:type="paragraph" w:styleId="Heading1">
    <w:name w:val="heading 1"/>
    <w:basedOn w:val="Normal"/>
    <w:next w:val="Normal"/>
    <w:link w:val="Heading1Char"/>
    <w:qFormat/>
    <w:rsid w:val="00256799"/>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qFormat/>
    <w:rsid w:val="00256799"/>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qFormat/>
    <w:rsid w:val="00256799"/>
    <w:pPr>
      <w:keepNext/>
      <w:spacing w:before="240" w:after="60" w:line="240" w:lineRule="auto"/>
      <w:outlineLvl w:val="2"/>
    </w:pPr>
    <w:rPr>
      <w:rFonts w:ascii="Arial" w:hAnsi="Arial" w:cs="Arial"/>
      <w:b/>
      <w:bCs/>
      <w:sz w:val="26"/>
      <w:szCs w:val="26"/>
    </w:rPr>
  </w:style>
  <w:style w:type="paragraph" w:styleId="Heading6">
    <w:name w:val="heading 6"/>
    <w:basedOn w:val="Normal"/>
    <w:next w:val="Normal"/>
    <w:link w:val="Heading6Char"/>
    <w:uiPriority w:val="9"/>
    <w:semiHidden/>
    <w:unhideWhenUsed/>
    <w:qFormat/>
    <w:rsid w:val="0025679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679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25679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256799"/>
    <w:rPr>
      <w:rFonts w:ascii="Arial" w:eastAsia="Times New Roman" w:hAnsi="Arial" w:cs="Arial"/>
      <w:b/>
      <w:bCs/>
      <w:sz w:val="26"/>
      <w:szCs w:val="26"/>
    </w:rPr>
  </w:style>
  <w:style w:type="character" w:customStyle="1" w:styleId="Heading6Char">
    <w:name w:val="Heading 6 Char"/>
    <w:basedOn w:val="DefaultParagraphFont"/>
    <w:link w:val="Heading6"/>
    <w:uiPriority w:val="9"/>
    <w:semiHidden/>
    <w:rsid w:val="00256799"/>
    <w:rPr>
      <w:rFonts w:asciiTheme="majorHAnsi" w:eastAsiaTheme="majorEastAsia" w:hAnsiTheme="majorHAnsi" w:cstheme="majorBidi"/>
      <w:i/>
      <w:iCs/>
      <w:color w:val="243F60" w:themeColor="accent1" w:themeShade="7F"/>
    </w:rPr>
  </w:style>
  <w:style w:type="paragraph" w:styleId="NoSpacing">
    <w:name w:val="No Spacing"/>
    <w:uiPriority w:val="1"/>
    <w:qFormat/>
    <w:rsid w:val="00256799"/>
    <w:pPr>
      <w:spacing w:after="0" w:line="240" w:lineRule="auto"/>
    </w:pPr>
    <w:rPr>
      <w:rFonts w:ascii="Calibri" w:eastAsia="Times New Roman" w:hAnsi="Calibri" w:cs="Times New Roman"/>
    </w:rPr>
  </w:style>
  <w:style w:type="paragraph" w:styleId="FootnoteText">
    <w:name w:val="footnote text"/>
    <w:basedOn w:val="Normal"/>
    <w:link w:val="FootnoteTextChar"/>
    <w:semiHidden/>
    <w:rsid w:val="00256799"/>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semiHidden/>
    <w:rsid w:val="00256799"/>
    <w:rPr>
      <w:rFonts w:ascii="Times New Roman" w:eastAsia="Times New Roman" w:hAnsi="Times New Roman" w:cs="Times New Roman"/>
      <w:sz w:val="20"/>
      <w:szCs w:val="20"/>
    </w:rPr>
  </w:style>
  <w:style w:type="character" w:styleId="FootnoteReference">
    <w:name w:val="footnote reference"/>
    <w:basedOn w:val="DefaultParagraphFont"/>
    <w:semiHidden/>
    <w:rsid w:val="00256799"/>
    <w:rPr>
      <w:rFonts w:ascii="Times New Roman" w:hAnsi="Times New Roman" w:cs="Times New Roman"/>
      <w:vertAlign w:val="superscript"/>
    </w:rPr>
  </w:style>
  <w:style w:type="character" w:styleId="Hyperlink">
    <w:name w:val="Hyperlink"/>
    <w:basedOn w:val="DefaultParagraphFont"/>
    <w:semiHidden/>
    <w:rsid w:val="00256799"/>
    <w:rPr>
      <w:rFonts w:ascii="Times New Roman" w:hAnsi="Times New Roman" w:cs="Times New Roman"/>
      <w:color w:val="0000FF"/>
      <w:u w:val="single"/>
    </w:rPr>
  </w:style>
  <w:style w:type="paragraph" w:styleId="BalloonText">
    <w:name w:val="Balloon Text"/>
    <w:basedOn w:val="Normal"/>
    <w:link w:val="BalloonTextChar"/>
    <w:uiPriority w:val="99"/>
    <w:semiHidden/>
    <w:unhideWhenUsed/>
    <w:rsid w:val="00256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799"/>
    <w:rPr>
      <w:rFonts w:ascii="Tahoma" w:eastAsia="Times New Roman" w:hAnsi="Tahoma" w:cs="Tahoma"/>
      <w:sz w:val="16"/>
      <w:szCs w:val="16"/>
    </w:rPr>
  </w:style>
  <w:style w:type="paragraph" w:styleId="BodyTextIndent">
    <w:name w:val="Body Text Indent"/>
    <w:basedOn w:val="Normal"/>
    <w:link w:val="BodyTextIndentChar"/>
    <w:semiHidden/>
    <w:rsid w:val="00256799"/>
    <w:pPr>
      <w:spacing w:after="120" w:line="240" w:lineRule="auto"/>
      <w:ind w:left="360"/>
    </w:pPr>
    <w:rPr>
      <w:rFonts w:ascii="Times New Roman" w:hAnsi="Times New Roman"/>
      <w:sz w:val="24"/>
      <w:szCs w:val="24"/>
    </w:rPr>
  </w:style>
  <w:style w:type="character" w:customStyle="1" w:styleId="BodyTextIndentChar">
    <w:name w:val="Body Text Indent Char"/>
    <w:basedOn w:val="DefaultParagraphFont"/>
    <w:link w:val="BodyTextIndent"/>
    <w:semiHidden/>
    <w:rsid w:val="00256799"/>
    <w:rPr>
      <w:rFonts w:ascii="Times New Roman" w:eastAsia="Times New Roman" w:hAnsi="Times New Roman" w:cs="Times New Roman"/>
      <w:sz w:val="24"/>
      <w:szCs w:val="24"/>
    </w:rPr>
  </w:style>
  <w:style w:type="paragraph" w:customStyle="1" w:styleId="arcBodyText">
    <w:name w:val="arc Body Text"/>
    <w:basedOn w:val="BodyText"/>
    <w:rsid w:val="00256799"/>
    <w:pPr>
      <w:spacing w:after="160" w:line="240" w:lineRule="auto"/>
    </w:pPr>
    <w:rPr>
      <w:rFonts w:ascii="Times New Roman" w:hAnsi="Times New Roman"/>
      <w:szCs w:val="20"/>
    </w:rPr>
  </w:style>
  <w:style w:type="paragraph" w:styleId="BodyText">
    <w:name w:val="Body Text"/>
    <w:basedOn w:val="Normal"/>
    <w:link w:val="BodyTextChar"/>
    <w:uiPriority w:val="99"/>
    <w:semiHidden/>
    <w:unhideWhenUsed/>
    <w:rsid w:val="00256799"/>
    <w:pPr>
      <w:spacing w:after="120"/>
    </w:pPr>
  </w:style>
  <w:style w:type="character" w:customStyle="1" w:styleId="BodyTextChar">
    <w:name w:val="Body Text Char"/>
    <w:basedOn w:val="DefaultParagraphFont"/>
    <w:link w:val="BodyText"/>
    <w:uiPriority w:val="99"/>
    <w:semiHidden/>
    <w:rsid w:val="00256799"/>
    <w:rPr>
      <w:rFonts w:ascii="Calibri" w:eastAsia="Times New Roman" w:hAnsi="Calibri" w:cs="Times New Roman"/>
    </w:rPr>
  </w:style>
  <w:style w:type="paragraph" w:styleId="BodyText3">
    <w:name w:val="Body Text 3"/>
    <w:basedOn w:val="Normal"/>
    <w:link w:val="BodyText3Char"/>
    <w:semiHidden/>
    <w:rsid w:val="00256799"/>
    <w:pPr>
      <w:spacing w:after="120"/>
    </w:pPr>
    <w:rPr>
      <w:sz w:val="16"/>
      <w:szCs w:val="16"/>
    </w:rPr>
  </w:style>
  <w:style w:type="character" w:customStyle="1" w:styleId="BodyText3Char">
    <w:name w:val="Body Text 3 Char"/>
    <w:basedOn w:val="DefaultParagraphFont"/>
    <w:link w:val="BodyText3"/>
    <w:semiHidden/>
    <w:rsid w:val="00256799"/>
    <w:rPr>
      <w:rFonts w:ascii="Calibri" w:eastAsia="Times New Roman" w:hAnsi="Calibri" w:cs="Times New Roman"/>
      <w:sz w:val="16"/>
      <w:szCs w:val="16"/>
    </w:rPr>
  </w:style>
  <w:style w:type="paragraph" w:styleId="TOC1">
    <w:name w:val="toc 1"/>
    <w:basedOn w:val="Normal"/>
    <w:next w:val="Normal"/>
    <w:autoRedefine/>
    <w:semiHidden/>
    <w:rsid w:val="00256799"/>
    <w:pPr>
      <w:spacing w:before="120" w:after="58" w:line="240" w:lineRule="auto"/>
      <w:jc w:val="center"/>
    </w:pPr>
    <w:rPr>
      <w:rFonts w:ascii="Tahoma" w:hAnsi="Tahoma" w:cs="Tahoma"/>
      <w:sz w:val="18"/>
      <w:szCs w:val="24"/>
    </w:rPr>
  </w:style>
  <w:style w:type="paragraph" w:styleId="TOC7">
    <w:name w:val="toc 7"/>
    <w:basedOn w:val="Normal"/>
    <w:next w:val="Normal"/>
    <w:autoRedefine/>
    <w:semiHidden/>
    <w:rsid w:val="00256799"/>
    <w:pPr>
      <w:spacing w:after="0" w:line="240" w:lineRule="auto"/>
    </w:pPr>
    <w:rPr>
      <w:rFonts w:ascii="Times New Roman" w:hAnsi="Times New Roman"/>
      <w:sz w:val="20"/>
      <w:szCs w:val="20"/>
    </w:rPr>
  </w:style>
  <w:style w:type="character" w:styleId="Strong">
    <w:name w:val="Strong"/>
    <w:basedOn w:val="DefaultParagraphFont"/>
    <w:qFormat/>
    <w:rsid w:val="00256799"/>
    <w:rPr>
      <w:rFonts w:ascii="Times New Roman" w:hAnsi="Times New Roman" w:cs="Times New Roman"/>
      <w:b/>
      <w:bCs/>
    </w:rPr>
  </w:style>
  <w:style w:type="paragraph" w:styleId="Header">
    <w:name w:val="header"/>
    <w:basedOn w:val="Normal"/>
    <w:link w:val="HeaderChar"/>
    <w:uiPriority w:val="99"/>
    <w:unhideWhenUsed/>
    <w:rsid w:val="0025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6799"/>
    <w:rPr>
      <w:rFonts w:ascii="Calibri" w:eastAsia="Times New Roman" w:hAnsi="Calibri" w:cs="Times New Roman"/>
    </w:rPr>
  </w:style>
  <w:style w:type="paragraph" w:styleId="Footer">
    <w:name w:val="footer"/>
    <w:basedOn w:val="Normal"/>
    <w:link w:val="FooterChar"/>
    <w:uiPriority w:val="99"/>
    <w:unhideWhenUsed/>
    <w:rsid w:val="0025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6799"/>
    <w:rPr>
      <w:rFonts w:ascii="Calibri" w:eastAsia="Times New Roman" w:hAnsi="Calibri" w:cs="Times New Roman"/>
    </w:rPr>
  </w:style>
  <w:style w:type="paragraph" w:styleId="Title">
    <w:name w:val="Title"/>
    <w:basedOn w:val="Normal"/>
    <w:next w:val="Normal"/>
    <w:link w:val="TitleChar"/>
    <w:uiPriority w:val="10"/>
    <w:qFormat/>
    <w:rsid w:val="0025679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5679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679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256799"/>
    <w:rPr>
      <w:rFonts w:asciiTheme="majorHAnsi" w:eastAsiaTheme="majorEastAsia" w:hAnsiTheme="majorHAnsi" w:cstheme="majorBidi"/>
      <w:i/>
      <w:iCs/>
      <w:color w:val="4F81BD" w:themeColor="accent1"/>
      <w:spacing w:val="15"/>
      <w:sz w:val="24"/>
      <w:szCs w:val="24"/>
    </w:rPr>
  </w:style>
  <w:style w:type="paragraph" w:styleId="CommentText">
    <w:name w:val="annotation text"/>
    <w:basedOn w:val="Normal"/>
    <w:link w:val="CommentTextChar"/>
    <w:uiPriority w:val="99"/>
    <w:semiHidden/>
    <w:unhideWhenUsed/>
    <w:rsid w:val="00256799"/>
    <w:pPr>
      <w:spacing w:line="240" w:lineRule="auto"/>
    </w:pPr>
    <w:rPr>
      <w:sz w:val="20"/>
      <w:szCs w:val="20"/>
    </w:rPr>
  </w:style>
  <w:style w:type="character" w:customStyle="1" w:styleId="CommentTextChar">
    <w:name w:val="Comment Text Char"/>
    <w:basedOn w:val="DefaultParagraphFont"/>
    <w:link w:val="CommentText"/>
    <w:uiPriority w:val="99"/>
    <w:semiHidden/>
    <w:rsid w:val="0025679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56799"/>
    <w:rPr>
      <w:b/>
      <w:bCs/>
    </w:rPr>
  </w:style>
  <w:style w:type="character" w:customStyle="1" w:styleId="CommentSubjectChar">
    <w:name w:val="Comment Subject Char"/>
    <w:basedOn w:val="CommentTextChar"/>
    <w:link w:val="CommentSubject"/>
    <w:uiPriority w:val="99"/>
    <w:semiHidden/>
    <w:rsid w:val="00256799"/>
    <w:rPr>
      <w:b/>
      <w:bCs/>
    </w:rPr>
  </w:style>
  <w:style w:type="paragraph" w:styleId="ListParagraph">
    <w:name w:val="List Paragraph"/>
    <w:basedOn w:val="Normal"/>
    <w:uiPriority w:val="34"/>
    <w:qFormat/>
    <w:rsid w:val="00256799"/>
    <w:pPr>
      <w:ind w:left="720"/>
      <w:contextualSpacing/>
    </w:pPr>
  </w:style>
  <w:style w:type="table" w:styleId="TableGrid">
    <w:name w:val="Table Grid"/>
    <w:basedOn w:val="TableNormal"/>
    <w:uiPriority w:val="59"/>
    <w:rsid w:val="002567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ediumShading21">
    <w:name w:val="Medium Shading 21"/>
    <w:basedOn w:val="TableNormal"/>
    <w:uiPriority w:val="64"/>
    <w:rsid w:val="00256799"/>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122EC9"/>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_rels/footnotes.xml.rels><?xml version="1.0" encoding="UTF-8" standalone="yes"?>
<Relationships xmlns="http://schemas.openxmlformats.org/package/2006/relationships"><Relationship Id="rId1" Type="http://schemas.openxmlformats.org/officeDocument/2006/relationships/hyperlink" Target="http://www.epa.gov/oms/nmim.h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DAVIDDO\Desktop\chart_main_popemp.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Chart 1. ARC's Population and Employment Forecasts</a:t>
            </a:r>
          </a:p>
          <a:p>
            <a:pPr>
              <a:defRPr/>
            </a:pPr>
            <a:r>
              <a:rPr lang="en-US"/>
              <a:t>1990 - 2040</a:t>
            </a:r>
          </a:p>
        </c:rich>
      </c:tx>
      <c:layout/>
    </c:title>
    <c:plotArea>
      <c:layout>
        <c:manualLayout>
          <c:layoutTarget val="inner"/>
          <c:xMode val="edge"/>
          <c:yMode val="edge"/>
          <c:x val="0.12004749751108698"/>
          <c:y val="0.18847233999861171"/>
          <c:w val="0.86009955652095438"/>
          <c:h val="0.73056769205367933"/>
        </c:manualLayout>
      </c:layout>
      <c:lineChart>
        <c:grouping val="standard"/>
        <c:ser>
          <c:idx val="0"/>
          <c:order val="0"/>
          <c:tx>
            <c:strRef>
              <c:f>Chart1!$A$4</c:f>
              <c:strCache>
                <c:ptCount val="1"/>
                <c:pt idx="0">
                  <c:v>Population</c:v>
                </c:pt>
              </c:strCache>
            </c:strRef>
          </c:tx>
          <c:dLbls>
            <c:txPr>
              <a:bodyPr/>
              <a:lstStyle/>
              <a:p>
                <a:pPr>
                  <a:defRPr sz="800"/>
                </a:pPr>
                <a:endParaRPr lang="en-US"/>
              </a:p>
            </c:txPr>
            <c:dLblPos val="t"/>
            <c:showVal val="1"/>
          </c:dLbls>
          <c:cat>
            <c:strRef>
              <c:f>Chart1!$B$3:$L$3</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strRef>
          </c:cat>
          <c:val>
            <c:numRef>
              <c:f>Chart1!$B$4:$L$4</c:f>
              <c:numCache>
                <c:formatCode>_(* #,##0_);_(* \(#,##0\);_(* "-"??_);_(@_)</c:formatCode>
                <c:ptCount val="11"/>
                <c:pt idx="0">
                  <c:v>3063026</c:v>
                </c:pt>
                <c:pt idx="1">
                  <c:v>3609225</c:v>
                </c:pt>
                <c:pt idx="2">
                  <c:v>4263255</c:v>
                </c:pt>
                <c:pt idx="3">
                  <c:v>4944939</c:v>
                </c:pt>
                <c:pt idx="4">
                  <c:v>5473846</c:v>
                </c:pt>
                <c:pt idx="5">
                  <c:v>5925900</c:v>
                </c:pt>
                <c:pt idx="6">
                  <c:v>6453347</c:v>
                </c:pt>
                <c:pt idx="7">
                  <c:v>6929253</c:v>
                </c:pt>
                <c:pt idx="8">
                  <c:v>7377951</c:v>
                </c:pt>
                <c:pt idx="9">
                  <c:v>7829905</c:v>
                </c:pt>
                <c:pt idx="10">
                  <c:v>8256323</c:v>
                </c:pt>
              </c:numCache>
            </c:numRef>
          </c:val>
        </c:ser>
        <c:ser>
          <c:idx val="1"/>
          <c:order val="1"/>
          <c:tx>
            <c:strRef>
              <c:f>Chart1!$A$5</c:f>
              <c:strCache>
                <c:ptCount val="1"/>
                <c:pt idx="0">
                  <c:v>Employment</c:v>
                </c:pt>
              </c:strCache>
            </c:strRef>
          </c:tx>
          <c:dLbls>
            <c:txPr>
              <a:bodyPr/>
              <a:lstStyle/>
              <a:p>
                <a:pPr>
                  <a:defRPr sz="800"/>
                </a:pPr>
                <a:endParaRPr lang="en-US"/>
              </a:p>
            </c:txPr>
            <c:dLblPos val="b"/>
            <c:showVal val="1"/>
          </c:dLbls>
          <c:cat>
            <c:strRef>
              <c:f>Chart1!$B$3:$L$3</c:f>
              <c:strCache>
                <c:ptCount val="11"/>
                <c:pt idx="0">
                  <c:v>1990</c:v>
                </c:pt>
                <c:pt idx="1">
                  <c:v>1995</c:v>
                </c:pt>
                <c:pt idx="2">
                  <c:v>2000</c:v>
                </c:pt>
                <c:pt idx="3">
                  <c:v>2005</c:v>
                </c:pt>
                <c:pt idx="4">
                  <c:v>2010</c:v>
                </c:pt>
                <c:pt idx="5">
                  <c:v>2015</c:v>
                </c:pt>
                <c:pt idx="6">
                  <c:v>2020</c:v>
                </c:pt>
                <c:pt idx="7">
                  <c:v>2025</c:v>
                </c:pt>
                <c:pt idx="8">
                  <c:v>2030</c:v>
                </c:pt>
                <c:pt idx="9">
                  <c:v>2035</c:v>
                </c:pt>
                <c:pt idx="10">
                  <c:v>2040</c:v>
                </c:pt>
              </c:strCache>
            </c:strRef>
          </c:cat>
          <c:val>
            <c:numRef>
              <c:f>Chart1!$B$5:$L$5</c:f>
              <c:numCache>
                <c:formatCode>_(* #,##0_);_(* \(#,##0\);_(* "-"??_);_(@_)</c:formatCode>
                <c:ptCount val="11"/>
                <c:pt idx="0">
                  <c:v>1940175</c:v>
                </c:pt>
                <c:pt idx="1">
                  <c:v>2284122</c:v>
                </c:pt>
                <c:pt idx="2">
                  <c:v>2797292</c:v>
                </c:pt>
                <c:pt idx="3">
                  <c:v>3003487</c:v>
                </c:pt>
                <c:pt idx="4">
                  <c:v>2699950</c:v>
                </c:pt>
                <c:pt idx="5">
                  <c:v>2985928</c:v>
                </c:pt>
                <c:pt idx="6">
                  <c:v>3304406</c:v>
                </c:pt>
                <c:pt idx="7">
                  <c:v>3546530</c:v>
                </c:pt>
                <c:pt idx="8">
                  <c:v>3835118</c:v>
                </c:pt>
                <c:pt idx="9">
                  <c:v>4158004</c:v>
                </c:pt>
                <c:pt idx="10">
                  <c:v>4472567</c:v>
                </c:pt>
              </c:numCache>
            </c:numRef>
          </c:val>
        </c:ser>
        <c:marker val="1"/>
        <c:axId val="74372608"/>
        <c:axId val="74374144"/>
      </c:lineChart>
      <c:catAx>
        <c:axId val="74372608"/>
        <c:scaling>
          <c:orientation val="minMax"/>
        </c:scaling>
        <c:axPos val="b"/>
        <c:numFmt formatCode="General" sourceLinked="1"/>
        <c:tickLblPos val="nextTo"/>
        <c:crossAx val="74374144"/>
        <c:crosses val="autoZero"/>
        <c:auto val="1"/>
        <c:lblAlgn val="ctr"/>
        <c:lblOffset val="100"/>
      </c:catAx>
      <c:valAx>
        <c:axId val="74374144"/>
        <c:scaling>
          <c:orientation val="minMax"/>
        </c:scaling>
        <c:axPos val="l"/>
        <c:majorGridlines/>
        <c:numFmt formatCode="_(* #,##0_);_(* \(#,##0\);_(* &quot;-&quot;??_);_(@_)" sourceLinked="1"/>
        <c:tickLblPos val="nextTo"/>
        <c:crossAx val="74372608"/>
        <c:crosses val="autoZero"/>
        <c:crossBetween val="between"/>
      </c:valAx>
    </c:plotArea>
    <c:legend>
      <c:legendPos val="r"/>
      <c:layout>
        <c:manualLayout>
          <c:xMode val="edge"/>
          <c:yMode val="edge"/>
          <c:x val="0.68496693449484236"/>
          <c:y val="0.76755608125863006"/>
          <c:w val="0.27792519698873291"/>
          <c:h val="5.7418442635500506E-2"/>
        </c:manualLayout>
      </c:layout>
      <c:spPr>
        <a:solidFill>
          <a:sysClr val="window" lastClr="FFFFFF"/>
        </a:solidFill>
        <a:ln>
          <a:solidFill>
            <a:srgbClr val="4F81BD"/>
          </a:solidFill>
        </a:ln>
      </c:sp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4827</Words>
  <Characters>27514</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ARC</Company>
  <LinksUpToDate>false</LinksUpToDate>
  <CharactersWithSpaces>32277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DavidDO</dc:creator>
  <cp:keywords/>
  <dc:description/>
  <cp:lastModifiedBy>Regan</cp:lastModifiedBy>
  <cp:revision>2</cp:revision>
  <dcterms:created xsi:type="dcterms:W3CDTF">2011-07-20T18:35:00Z</dcterms:created>
  <dcterms:modified xsi:type="dcterms:W3CDTF">2011-07-20T18:35:00Z</dcterms:modified>
</cp:coreProperties>
</file>